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4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4"/>
        <w:ind w:right="4953"/>
        <w:spacing w:line="240" w:lineRule="exact"/>
      </w:pPr>
      <w:r/>
      <w:r/>
    </w:p>
    <w:p>
      <w:pPr>
        <w:pStyle w:val="924"/>
        <w:ind w:right="495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bookmarkStart w:id="0" w:name="_Hlk68082178"/>
      <w:r/>
      <w:bookmarkStart w:id="1" w:name="_Hlk68082641"/>
      <w:r/>
      <w:bookmarkStart w:id="2" w:name="_Hlk92968716"/>
      <w:r>
        <w:rPr>
          <w:b/>
          <w:sz w:val="28"/>
          <w:szCs w:val="28"/>
        </w:rPr>
        <w:t xml:space="preserve">определения объема и условий предоставления </w:t>
      </w:r>
      <w:bookmarkStart w:id="3" w:name="_Hlk92896085"/>
      <w:r/>
      <w:bookmarkEnd w:id="0"/>
      <w:r>
        <w:rPr>
          <w:b/>
          <w:sz w:val="28"/>
          <w:szCs w:val="28"/>
        </w:rPr>
        <w:t xml:space="preserve">субсидий на иные цели бюджетным </w:t>
      </w:r>
      <w:r>
        <w:rPr>
          <w:b/>
          <w:sz w:val="28"/>
          <w:szCs w:val="28"/>
        </w:rPr>
        <w:br/>
        <w:t xml:space="preserve">и автономным учреждениям, подведомственным департаменту культуры и молодежной политики администрации города Перми, </w:t>
      </w:r>
      <w:bookmarkStart w:id="4" w:name="_Hlk92968807"/>
      <w:r/>
      <w:bookmarkStart w:id="5" w:name="_Hlk187319818"/>
      <w:r>
        <w:rPr>
          <w:b/>
          <w:sz w:val="28"/>
          <w:szCs w:val="28"/>
        </w:rPr>
        <w:br/>
        <w:t xml:space="preserve">на софинансирование проектов инициативного бюджетирования</w:t>
      </w:r>
      <w:bookmarkEnd w:id="1"/>
      <w:r/>
      <w:bookmarkEnd w:id="2"/>
      <w:r/>
      <w:bookmarkEnd w:id="3"/>
      <w:r/>
      <w:bookmarkEnd w:id="4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</w:t>
      </w:r>
      <w:r>
        <w:rPr>
          <w:sz w:val="28"/>
          <w:szCs w:val="28"/>
        </w:rPr>
        <w:t xml:space="preserve">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Пермского края от 02 июня </w:t>
      </w:r>
      <w:r>
        <w:rPr>
          <w:sz w:val="28"/>
          <w:szCs w:val="28"/>
        </w:rPr>
        <w:br/>
        <w:t xml:space="preserve">2016 г. № 654-ПК «О реализации проектов инициативного бюджетирования </w:t>
      </w:r>
      <w:r>
        <w:rPr>
          <w:sz w:val="28"/>
          <w:szCs w:val="28"/>
        </w:rPr>
        <w:br/>
        <w:t xml:space="preserve">в Пермском крае», постановлениями Правительства Пермского края от 10 января 2017 г. № 6-п «Об утверждении Порядка предоставления субсидий из бюджета Пермского края бюджетам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образований Пермского края </w:t>
        <w:br/>
        <w:t xml:space="preserve">на софинансирование проектов инициативного бюджетирования в Пермском крае», от 11 декабря 2024 г. № 1000-п «О распределении субсидий из средств бюджета Пермского края бюджетам муниципальных образований Пермского края на софи</w:t>
      </w:r>
      <w:r>
        <w:rPr>
          <w:sz w:val="28"/>
          <w:szCs w:val="28"/>
        </w:rPr>
        <w:t xml:space="preserve">нансирование проектов инициативного бюджетирования», решением Пермской городской Думы от 24 августа 2021 г. № 200 «Об утверждении Порядка проведения конкурсного отбора проектов инициативного бюджетирования конкурсной комиссией города Перми и их реализации»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</w:t>
      </w:r>
      <w:r>
        <w:rPr>
          <w:sz w:val="28"/>
          <w:szCs w:val="28"/>
        </w:rPr>
        <w:t xml:space="preserve">орядок 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софинансирование проектов инициативного бюджетирования.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</w:pPr>
      <w: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33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33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pStyle w:val="933"/>
      </w:pPr>
      <w: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Мальцеву Е.Д.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города Перми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11.02.2025 № 55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бюджетным и автономным учреждениям, подведомственным департаменту культуры и молодежной политики администрации города Перми,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софинансирование проектов инициативного бюджетирования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софинансирование проектов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объем и условия предоставления субсидий на иные цели муниципальным бюджетным и автономным учреждениям на с</w:t>
      </w:r>
      <w:r>
        <w:rPr>
          <w:rFonts w:ascii="Times New Roman" w:hAnsi="Times New Roman" w:cs="Times New Roman"/>
          <w:sz w:val="28"/>
          <w:szCs w:val="28"/>
        </w:rPr>
        <w:t xml:space="preserve">офинансирование проектов инициативного бюджетирования,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Учреждения, Департамент).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на иные цели является активизация участия жителей в реализации мероприятий, имеющих приоритетное значение для жителей, по решению вопросов местного значения</w:t>
      </w:r>
      <w:r>
        <w:t xml:space="preserve"> </w:t>
      </w:r>
      <w:r>
        <w:rPr>
          <w:sz w:val="28"/>
          <w:szCs w:val="28"/>
        </w:rPr>
        <w:t xml:space="preserve">в рамках выполнения мероприятий муниципальной программы «Общественное согласие».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направляются на софинансирование </w:t>
      </w:r>
      <w:bookmarkStart w:id="6" w:name="_Hlk94522082"/>
      <w:r>
        <w:rPr>
          <w:sz w:val="28"/>
          <w:szCs w:val="28"/>
        </w:rPr>
        <w:t xml:space="preserve">проекта инициативного бюджетирования</w:t>
      </w:r>
      <w:bookmarkEnd w:id="6"/>
      <w:r>
        <w:rPr>
          <w:sz w:val="28"/>
          <w:szCs w:val="28"/>
        </w:rPr>
        <w:t xml:space="preserve"> «Создание социокультурного пространства «Арт-дворик» (далее – инициативный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Субсидии на иные цели предоставляются Учреждениям в пределах бюджетных ассигнований и лимитов бюджетных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текущий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на основании сводной бюджетной росписи бюджета города Перми, за счет средств бюджета Пермского края, бюджета города Перми, инициативных платежей </w:t>
      </w:r>
      <w:bookmarkStart w:id="7" w:name="_Hlk95894372"/>
      <w:r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муниципальной программы «Общественное согласие»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 расходов: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</w:t>
      </w:r>
      <w:bookmarkStart w:id="8" w:name="_Hlk188607372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территории;</w:t>
      </w:r>
      <w:bookmarkEnd w:id="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ландшафтных работ;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</w:t>
      </w: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обеспечение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расходы по доставке, монтажу, демонтажу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на иные цели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25"/>
        <w:spacing w:line="240" w:lineRule="exac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Для получения субсидий на иные цели Учреждения направляют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Департамент: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 согласно приложению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предварительную смету расходов;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планируемом к приобретению имуществе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Требования, которым Учреждения должны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t xml:space="preserve">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Учреждениям в предоставлении субсидии </w:t>
      </w:r>
      <w:r>
        <w:rPr>
          <w:sz w:val="28"/>
          <w:szCs w:val="28"/>
        </w:rPr>
        <w:br w:type="textWrapping" w:clear="all"/>
        <w:t xml:space="preserve">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40" w:lineRule="exact"/>
        <w:rPr>
          <w:sz w:val="28"/>
          <w:szCs w:val="24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4"/>
        </w:rPr>
        <w:t xml:space="preserve">Размер субсидий на иные цели определяется: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pacing w:line="340" w:lineRule="exact"/>
        <w:rPr>
          <w:sz w:val="28"/>
          <w:szCs w:val="24"/>
        </w:rPr>
      </w:pPr>
      <w:r>
        <w:rPr>
          <w:sz w:val="28"/>
          <w:szCs w:val="24"/>
        </w:rPr>
        <w:t xml:space="preserve">2.5.1. в части расходов на выполнение работ по </w:t>
      </w:r>
      <w:r>
        <w:rPr>
          <w:sz w:val="28"/>
          <w:szCs w:val="24"/>
        </w:rPr>
        <w:t xml:space="preserve">ремонту (</w:t>
      </w:r>
      <w:r>
        <w:rPr>
          <w:sz w:val="28"/>
          <w:szCs w:val="24"/>
        </w:rPr>
        <w:t xml:space="preserve">благоустройству</w:t>
      </w:r>
      <w:r>
        <w:rPr>
          <w:sz w:val="28"/>
          <w:szCs w:val="24"/>
        </w:rPr>
        <w:t xml:space="preserve">)</w:t>
      </w:r>
      <w:r>
        <w:rPr>
          <w:sz w:val="28"/>
          <w:szCs w:val="24"/>
        </w:rPr>
        <w:t xml:space="preserve"> территории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– на основании локального сметного расчета в актуальных ценах, согласованного с муниципальным казенным учреждением </w:t>
      </w:r>
      <w:r>
        <w:rPr>
          <w:sz w:val="28"/>
          <w:szCs w:val="24"/>
        </w:rPr>
        <w:t xml:space="preserve">«Административно-хозяйственная служба системы образования» города Перми; обоснования цены материалов (оборудования), включенных в локальные сметные расчеты на основании прайс-листов, коммерческих предложений с приложением не менее трех ценовых информаций;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pacing w:line="340" w:lineRule="exact"/>
        <w:rPr>
          <w:sz w:val="28"/>
          <w:szCs w:val="24"/>
        </w:rPr>
      </w:pPr>
      <w:r>
        <w:rPr>
          <w:sz w:val="28"/>
          <w:szCs w:val="24"/>
        </w:rPr>
        <w:t xml:space="preserve">2.5.2. в части расходов </w:t>
      </w:r>
      <w:r>
        <w:rPr>
          <w:sz w:val="28"/>
          <w:szCs w:val="24"/>
        </w:rPr>
        <w:t xml:space="preserve">на выполнение ландшафтных работ, </w:t>
      </w:r>
      <w:r>
        <w:rPr>
          <w:sz w:val="28"/>
          <w:szCs w:val="24"/>
        </w:rPr>
        <w:t xml:space="preserve">материально-технического обеспечения, в том числе расходы по доставке, монтажу, </w:t>
        <w:br/>
        <w:t xml:space="preserve">демонтажу</w:t>
      </w:r>
      <w:r>
        <w:rPr>
          <w:sz w:val="28"/>
          <w:szCs w:val="24"/>
        </w:rPr>
        <w:t xml:space="preserve"> – на основании прайс-листов, коммерческих предложений </w:t>
        <w:br/>
        <w:t xml:space="preserve">с приложением не менее трех ценовых информаций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2.6. Субсидии на иные цели предоставляются в соответствии с согл</w:t>
      </w:r>
      <w:r>
        <w:rPr>
          <w:sz w:val="28"/>
          <w:szCs w:val="28"/>
        </w:rPr>
        <w:t xml:space="preserve">ашением о предоставлении субсидии из бюджета города Перми, заключенным между Департаментом и Учреждениями (далее – Соглашение) по типовой форме, утвержденной распоряжением начальника департамента финансов администрации города Перми (далее – типовая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Учреждений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и лимитов бюджетных обязательств для предоставления субсидий на иные цели в сводной бюджетной росписи бюджета </w:t>
      </w:r>
      <w:r>
        <w:rPr>
          <w:sz w:val="28"/>
          <w:szCs w:val="28"/>
        </w:rPr>
        <w:t xml:space="preserve">города Перми на 2025 год и в муниципальной программе «Общественное согласие».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«Общественное согласие», </w:t>
      </w:r>
      <w:r>
        <w:rPr>
          <w:sz w:val="28"/>
          <w:szCs w:val="28"/>
        </w:rPr>
        <w:t xml:space="preserve">сводную бюджетную роспись, </w:t>
      </w:r>
      <w:r>
        <w:rPr>
          <w:sz w:val="28"/>
          <w:szCs w:val="28"/>
        </w:rPr>
        <w:t xml:space="preserve">требующих внесения изменений в Соглашение, дополнительные соглашения заключаются в течение </w:t>
        <w:br/>
        <w:t xml:space="preserve">10 рабочих дней со дня вступления в силу изменений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Субсидии на иные цели перечисляются Учреждениям в сроки, установленные Соглашением. Периодичность перечисления субсидий на иные цели – единовременная.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Субсидии на иные цели Учреждениям предоставляются путем перечисления Департаментом денежных средств на отдельный лицевой счет, открытый в департаменте финансов администрации города Перми </w:t>
      </w:r>
      <w:r>
        <w:rPr>
          <w:sz w:val="28"/>
          <w:szCs w:val="28"/>
        </w:rPr>
        <w:t xml:space="preserve">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</w:t>
      </w:r>
      <w:r>
        <w:rPr>
          <w:sz w:val="28"/>
          <w:szCs w:val="28"/>
        </w:rPr>
        <w:t xml:space="preserve">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Результатом предоставления субсидий на иные цели является количество проектов, получивших поддержку в рамках реализации проектов инициативного бюджетирования в городе Перми</w:t>
      </w:r>
      <w:r>
        <w:t xml:space="preserve"> </w:t>
      </w:r>
      <w:r>
        <w:rPr>
          <w:sz w:val="28"/>
          <w:szCs w:val="28"/>
        </w:rPr>
        <w:t xml:space="preserve">в рамках выполнения мероприятий муниципальной программы «Общественное согласие». Показателем, необходимым для достижения результатов предоставления субсидий на иные цели, является количество </w:t>
      </w:r>
      <w:r>
        <w:rPr>
          <w:sz w:val="28"/>
          <w:szCs w:val="28"/>
        </w:rPr>
        <w:t xml:space="preserve">созданных социокультурных пространств «Арт-дворик».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достижению результатов предоставления субсидии на иные цели устанавливается Соглашением.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отчетности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bookmarkStart w:id="9" w:name="undefined"/>
      <w:r>
        <w:rPr>
          <w:sz w:val="28"/>
          <w:szCs w:val="28"/>
        </w:rPr>
        <w:t xml:space="preserve">Учреждение представляет в Департамент </w:t>
      </w:r>
      <w:bookmarkEnd w:id="9"/>
      <w:r>
        <w:rPr>
          <w:sz w:val="28"/>
          <w:szCs w:val="28"/>
        </w:rPr>
        <w:t xml:space="preserve">в течение 25 календарных дней со дня реализации проекта, но не позднее 13 января года, следующего за отчетным, следующую отчетность: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по форме согласно приложению 5 к типовой форме;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по форме согласно приложению 6 к типовой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Учреждение представляет в Департамент ежеквартально, но не позднее 13 числа месяца, следующего за отчетным кварталом, следующую отчетность: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</w:t>
      </w:r>
      <w:r>
        <w:rPr>
          <w:sz w:val="28"/>
          <w:szCs w:val="28"/>
        </w:rPr>
        <w:t xml:space="preserve"> по форме, установленной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Ответственность за своевременность представления Отчетов </w:t>
        <w:br/>
        <w:t xml:space="preserve">и достоверностью отчетных данных возлагается на руководителей Учреждений.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3.4. Департамент имеет право устанавливать в Соглашении формы представления Учреждениям дополнительной отчетности и сроки их представления.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Порядок осуществления контроля за соблюдением целей, условий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и порядка предоставления субсидий на иные цели и ответственность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Департамент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</w:t>
      </w:r>
      <w:r>
        <w:rPr>
          <w:sz w:val="28"/>
          <w:szCs w:val="28"/>
        </w:rPr>
        <w:t xml:space="preserve"> результата предоставления субсидий на иные цели, определенных Соглашением (контрольная точка), </w:t>
        <w:br/>
        <w:t xml:space="preserve">в порядке и по формам, установленным Порядком проведения мониторинга достижения результатов предоставления субсидий, в том числе грантов в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 юридическим лицам, в том числе бюджетным и 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учреждениям, индивидуальным предпринимателям, физическим лицам – производителям товаров, работ, услуг, утвержденным приказом 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 Российской Федерации от 27 апреля 2024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53н.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их предоставления, установленных настоящим Порядком.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</w:t>
      </w:r>
      <w:r>
        <w:rPr>
          <w:sz w:val="28"/>
          <w:szCs w:val="28"/>
        </w:rPr>
        <w:t xml:space="preserve">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</w:t>
      </w:r>
      <w:r>
        <w:rPr>
          <w:sz w:val="28"/>
          <w:szCs w:val="28"/>
        </w:rPr>
        <w:br/>
        <w:t xml:space="preserve">в бюджет города Перми в следующие сроки: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br w:type="textWrapping" w:clear="all"/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br/>
        <w:t xml:space="preserve">с 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 w:type="textWrapping" w:clear="all"/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пунктом 2.1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Остаток неиспользованных средств субсидий на иные цели, образовавшихся в результате экономии по результатам конкурсных процедур, может быть использован в году предоставления субсидий на иные цели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закупок товаров, работ, услуг, направленных на улучшение и (или) укрупнение того же инициативного проекта в соответствии с пунктом 4.1.2 Порядка пред</w:t>
      </w:r>
      <w:r>
        <w:rPr>
          <w:sz w:val="28"/>
          <w:szCs w:val="28"/>
        </w:rPr>
        <w:t xml:space="preserve">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утвержденного постановлением Правительства Пермского края от 10 января 2017 г. № 6-п.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Остатки субсидий на иные цели, пр</w:t>
      </w:r>
      <w:r>
        <w:rPr>
          <w:sz w:val="28"/>
          <w:szCs w:val="28"/>
        </w:rPr>
        <w:t xml:space="preserve">едоставл</w:t>
      </w:r>
      <w:r>
        <w:rPr>
          <w:sz w:val="28"/>
          <w:szCs w:val="28"/>
        </w:rPr>
        <w:t xml:space="preserve">енные за счет средств бюджета города Перми, по состоянию на 01 января очередного финансового года, не использованные в текущем финансовом году, подлежат перечислению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</w:t>
      </w:r>
      <w:r>
        <w:rPr>
          <w:sz w:val="28"/>
          <w:szCs w:val="28"/>
        </w:rPr>
        <w:t xml:space="preserve">на иные </w:t>
      </w:r>
      <w:r>
        <w:rPr>
          <w:sz w:val="28"/>
          <w:szCs w:val="28"/>
        </w:rPr>
        <w:t xml:space="preserve">цели, предоставленные за счет средств бюджета города Перми и перечисленные Учреждением в доход бюджета города Перми, возвращаются Учреждению в очередном финансовом году при наличии потребности в направлении их на те же цели на основании запроса Учреждения </w:t>
      </w:r>
      <w:r>
        <w:rPr>
          <w:sz w:val="28"/>
          <w:szCs w:val="28"/>
        </w:rPr>
        <w:br/>
        <w:t xml:space="preserve">в соответствии с решением Департамента, оформленным приказом начальника Департамента.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цели,</w:t>
      </w:r>
      <w:r>
        <w:t xml:space="preserve"> </w:t>
      </w:r>
      <w:r>
        <w:rPr>
          <w:sz w:val="28"/>
          <w:szCs w:val="28"/>
        </w:rPr>
        <w:t xml:space="preserve">предоставленных </w:t>
      </w:r>
      <w:r>
        <w:rPr>
          <w:sz w:val="28"/>
          <w:szCs w:val="28"/>
        </w:rPr>
        <w:br w:type="textWrapping" w:clear="all"/>
        <w:t xml:space="preserve">за счет средств бюджета города Перми, принимается Департаментом по итогам рассмотрения запроса Учреждения, представленного в Департамент в течение </w:t>
      </w:r>
      <w:r>
        <w:rPr>
          <w:sz w:val="28"/>
          <w:szCs w:val="28"/>
        </w:rPr>
        <w:br/>
        <w:t xml:space="preserve">20 рабочих дней и отражающего причины образования неиспользованных остатков и необходимости их использования в текущем финансовом году, </w:t>
      </w:r>
      <w:r>
        <w:rPr>
          <w:sz w:val="28"/>
          <w:szCs w:val="28"/>
        </w:rPr>
        <w:t xml:space="preserve">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цели, предоставленных за счет средств бюджета города Перми, в течение 30 рабочих дней </w:t>
      </w:r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предоставленных за счет средств бюджета города Перми, они считаются неподтвержденными и не подлежат возврату Учреждению.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цели, предоставленных за счет средств бюджета города Перми, не перечислены Учреждением </w:t>
      </w:r>
      <w:r>
        <w:rPr>
          <w:sz w:val="28"/>
          <w:szCs w:val="28"/>
        </w:rPr>
        <w:t xml:space="preserve">в доход бюджета города Перми в сроки, установленные абзацем первым настоящего пункта, они подлежат взысканию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Неиспользованные остатки субсидий на иные цели, предоставленные </w:t>
      </w:r>
      <w:r>
        <w:rPr>
          <w:sz w:val="28"/>
          <w:szCs w:val="28"/>
        </w:rPr>
        <w:br w:type="textWrapping" w:clear="all"/>
        <w:t xml:space="preserve">из бюджета Пермского края, в отношении которых не принято решение </w:t>
      </w:r>
      <w:r>
        <w:rPr>
          <w:sz w:val="28"/>
          <w:szCs w:val="28"/>
        </w:rPr>
        <w:br w:type="textWrapping" w:clear="all"/>
        <w:t xml:space="preserve">о направлении их на те же цели в текущем финансовом году, подлежат возврату </w:t>
      </w:r>
      <w:r>
        <w:rPr>
          <w:sz w:val="28"/>
          <w:szCs w:val="28"/>
        </w:rPr>
        <w:br w:type="textWrapping" w:clear="all"/>
        <w:t xml:space="preserve">в бюджет города Перми с последующим возвратом в установленном порядке </w:t>
      </w:r>
      <w:r>
        <w:rPr>
          <w:sz w:val="28"/>
          <w:szCs w:val="28"/>
        </w:rPr>
        <w:br/>
        <w:t xml:space="preserve">в бюджет Пермского края не позднее первых 15 рабочих дней текущего финансового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поступления средств от возврата ранее произведенных Учреждением выплат, источником финансового обеспечения которых являются </w:t>
      </w:r>
      <w:r>
        <w:rPr>
          <w:sz w:val="28"/>
          <w:szCs w:val="28"/>
        </w:rPr>
        <w:t xml:space="preserve">субсидии на иные цели, для достижения целей, установленных при предоставлении субсидий на иные цели, Департамент в течение 30 рабочих дней </w:t>
      </w:r>
      <w:r>
        <w:rPr>
          <w:sz w:val="28"/>
          <w:szCs w:val="28"/>
        </w:rPr>
        <w:br/>
        <w:t xml:space="preserve">с даты их поступления в Учреждение принимает решение путем издания приказа об использовании в текущем финансовом году указанных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при наличии потребности Учреждения по итогам рассмотрения запроса, представленного Учреждением в Департамент в течение </w:t>
      </w:r>
      <w:r>
        <w:rPr>
          <w:sz w:val="28"/>
          <w:szCs w:val="28"/>
        </w:rPr>
        <w:br w:type="textWrapping" w:clear="all"/>
        <w:t xml:space="preserve">30 рабочих дней с даты поступления средств в Учреждение и отражающих не</w:t>
      </w:r>
      <w:r>
        <w:rPr>
          <w:sz w:val="28"/>
          <w:szCs w:val="28"/>
        </w:rPr>
        <w:t xml:space="preserve">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Порядку определения объема </w:t>
        <w:br/>
        <w:t xml:space="preserve">и условий предоставления субсидий на иные цели бюджетным и автономным учреждениям, подведомственным департаменту культуры </w:t>
        <w:br/>
        <w:t xml:space="preserve">и молодежной политики 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 софинансирование проектов инициативного бюджетирования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sz w:val="28"/>
          <w:szCs w:val="28"/>
        </w:rPr>
        <w:br w:type="textWrapping" w:clear="all"/>
        <w:t xml:space="preserve">суммы субсидий на иные цели</w:t>
      </w:r>
      <w:r>
        <w:t xml:space="preserve"> </w:t>
      </w:r>
      <w:r>
        <w:rPr>
          <w:b/>
          <w:sz w:val="28"/>
          <w:szCs w:val="24"/>
        </w:rPr>
        <w:t xml:space="preserve">на софинансирование проектов инициативного бюджетирования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учреждения,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20__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80"/>
        <w:gridCol w:w="2496"/>
        <w:gridCol w:w="2736"/>
      </w:tblGrid>
      <w:tr>
        <w:tblPrEx/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6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субсидий на иные цели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(услуг)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субсидий </w:t>
            </w:r>
            <w:r>
              <w:rPr>
                <w:sz w:val="28"/>
                <w:szCs w:val="28"/>
              </w:rPr>
              <w:br/>
              <w:t xml:space="preserve">на иные цели </w:t>
            </w:r>
            <w:r>
              <w:rPr>
                <w:sz w:val="28"/>
                <w:szCs w:val="28"/>
              </w:rPr>
              <w:br w:type="textWrapping" w:clear="all"/>
              <w:t xml:space="preserve">(тыс. 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1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Субсидии на иные цели на софинансирование проектов инициативного бюджетирования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 w:type="textWrapping" w:clear="all"/>
        <w:t xml:space="preserve">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 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81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(подпись, 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________________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(дата заполнения)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363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55"/>
    <w:uiPriority w:val="10"/>
    <w:rPr>
      <w:sz w:val="48"/>
      <w:szCs w:val="48"/>
    </w:rPr>
  </w:style>
  <w:style w:type="character" w:styleId="726">
    <w:name w:val="Subtitle Char"/>
    <w:basedOn w:val="741"/>
    <w:link w:val="757"/>
    <w:uiPriority w:val="11"/>
    <w:rPr>
      <w:sz w:val="24"/>
      <w:szCs w:val="24"/>
    </w:rPr>
  </w:style>
  <w:style w:type="character" w:styleId="727">
    <w:name w:val="Quote Char"/>
    <w:link w:val="759"/>
    <w:uiPriority w:val="29"/>
    <w:rPr>
      <w:i/>
    </w:rPr>
  </w:style>
  <w:style w:type="character" w:styleId="728">
    <w:name w:val="Intense Quote Char"/>
    <w:link w:val="761"/>
    <w:uiPriority w:val="30"/>
    <w:rPr>
      <w:i/>
    </w:rPr>
  </w:style>
  <w:style w:type="character" w:styleId="729">
    <w:name w:val="Footnote Text Char"/>
    <w:link w:val="896"/>
    <w:uiPriority w:val="99"/>
    <w:rPr>
      <w:sz w:val="18"/>
    </w:rPr>
  </w:style>
  <w:style w:type="character" w:styleId="730">
    <w:name w:val="Endnote Text Char"/>
    <w:link w:val="899"/>
    <w:uiPriority w:val="99"/>
    <w:rPr>
      <w:sz w:val="20"/>
    </w:rPr>
  </w:style>
  <w:style w:type="paragraph" w:styleId="731" w:default="1">
    <w:name w:val="Normal"/>
    <w:qFormat/>
    <w:rPr>
      <w:lang w:eastAsia="ru-RU"/>
    </w:rPr>
  </w:style>
  <w:style w:type="paragraph" w:styleId="732">
    <w:name w:val="Heading 1"/>
    <w:basedOn w:val="731"/>
    <w:next w:val="731"/>
    <w:link w:val="91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3">
    <w:name w:val="Heading 2"/>
    <w:basedOn w:val="731"/>
    <w:next w:val="731"/>
    <w:link w:val="91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List Paragraph"/>
    <w:basedOn w:val="731"/>
    <w:uiPriority w:val="34"/>
    <w:qFormat/>
    <w:pPr>
      <w:contextualSpacing/>
      <w:ind w:left="720"/>
    </w:pPr>
  </w:style>
  <w:style w:type="paragraph" w:styleId="754">
    <w:name w:val="No Spacing"/>
    <w:uiPriority w:val="1"/>
    <w:qFormat/>
  </w:style>
  <w:style w:type="paragraph" w:styleId="755">
    <w:name w:val="Title"/>
    <w:basedOn w:val="731"/>
    <w:next w:val="731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link w:val="755"/>
    <w:uiPriority w:val="10"/>
    <w:rPr>
      <w:sz w:val="48"/>
      <w:szCs w:val="48"/>
    </w:rPr>
  </w:style>
  <w:style w:type="paragraph" w:styleId="757">
    <w:name w:val="Subtitle"/>
    <w:basedOn w:val="731"/>
    <w:next w:val="731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link w:val="757"/>
    <w:uiPriority w:val="11"/>
    <w:rPr>
      <w:sz w:val="24"/>
      <w:szCs w:val="24"/>
    </w:rPr>
  </w:style>
  <w:style w:type="paragraph" w:styleId="759">
    <w:name w:val="Quote"/>
    <w:basedOn w:val="731"/>
    <w:next w:val="731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31"/>
    <w:next w:val="731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paragraph" w:styleId="763">
    <w:name w:val="Header"/>
    <w:basedOn w:val="731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764" w:customStyle="1">
    <w:name w:val="Header Char"/>
    <w:uiPriority w:val="99"/>
  </w:style>
  <w:style w:type="paragraph" w:styleId="765">
    <w:name w:val="Footer"/>
    <w:basedOn w:val="731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Footer Char"/>
    <w:uiPriority w:val="99"/>
  </w:style>
  <w:style w:type="paragraph" w:styleId="767">
    <w:name w:val="Caption"/>
    <w:basedOn w:val="731"/>
    <w:next w:val="73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8" w:customStyle="1">
    <w:name w:val="Caption Char"/>
    <w:uiPriority w:val="99"/>
  </w:style>
  <w:style w:type="table" w:styleId="769">
    <w:name w:val="Table Grid"/>
    <w:basedOn w:val="742"/>
    <w:tblPr/>
  </w:style>
  <w:style w:type="table" w:styleId="77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5">
    <w:name w:val="Hyperlink"/>
    <w:uiPriority w:val="99"/>
    <w:unhideWhenUsed/>
    <w:rPr>
      <w:color w:val="0000ff"/>
      <w:u w:val="single"/>
    </w:rPr>
  </w:style>
  <w:style w:type="paragraph" w:styleId="896">
    <w:name w:val="footnote text"/>
    <w:basedOn w:val="731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endnote text"/>
    <w:basedOn w:val="731"/>
    <w:link w:val="900"/>
    <w:uiPriority w:val="99"/>
    <w:semiHidden/>
    <w:unhideWhenUsed/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uiPriority w:val="99"/>
    <w:semiHidden/>
    <w:unhideWhenUsed/>
    <w:rPr>
      <w:vertAlign w:val="superscript"/>
    </w:rPr>
  </w:style>
  <w:style w:type="paragraph" w:styleId="902">
    <w:name w:val="toc 1"/>
    <w:basedOn w:val="731"/>
    <w:next w:val="731"/>
    <w:uiPriority w:val="39"/>
    <w:unhideWhenUsed/>
    <w:pPr>
      <w:spacing w:after="57"/>
    </w:pPr>
  </w:style>
  <w:style w:type="paragraph" w:styleId="90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0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0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0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0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1"/>
    <w:next w:val="731"/>
    <w:uiPriority w:val="99"/>
    <w:unhideWhenUsed/>
  </w:style>
  <w:style w:type="character" w:styleId="913" w:customStyle="1">
    <w:name w:val="Заголовок 1 Знак"/>
    <w:link w:val="732"/>
    <w:rPr>
      <w:sz w:val="24"/>
    </w:rPr>
  </w:style>
  <w:style w:type="character" w:styleId="914" w:customStyle="1">
    <w:name w:val="Заголовок 2 Знак"/>
    <w:link w:val="733"/>
    <w:rPr>
      <w:sz w:val="24"/>
    </w:rPr>
  </w:style>
  <w:style w:type="paragraph" w:styleId="915">
    <w:name w:val="Body Text"/>
    <w:basedOn w:val="731"/>
    <w:link w:val="916"/>
    <w:pPr>
      <w:ind w:right="3117"/>
    </w:pPr>
    <w:rPr>
      <w:rFonts w:ascii="Courier New" w:hAnsi="Courier New"/>
      <w:sz w:val="26"/>
      <w:lang w:val="en-US" w:eastAsia="en-US"/>
    </w:rPr>
  </w:style>
  <w:style w:type="character" w:styleId="916" w:customStyle="1">
    <w:name w:val="Основной текст Знак"/>
    <w:link w:val="915"/>
    <w:rPr>
      <w:rFonts w:ascii="Courier New" w:hAnsi="Courier New"/>
      <w:sz w:val="26"/>
    </w:rPr>
  </w:style>
  <w:style w:type="paragraph" w:styleId="917">
    <w:name w:val="Body Text Indent"/>
    <w:basedOn w:val="731"/>
    <w:link w:val="918"/>
    <w:pPr>
      <w:ind w:right="-1"/>
      <w:jc w:val="both"/>
    </w:pPr>
    <w:rPr>
      <w:sz w:val="26"/>
      <w:lang w:val="en-US" w:eastAsia="en-US"/>
    </w:rPr>
  </w:style>
  <w:style w:type="character" w:styleId="918" w:customStyle="1">
    <w:name w:val="Основной текст с отступом Знак"/>
    <w:link w:val="917"/>
    <w:rPr>
      <w:sz w:val="26"/>
    </w:rPr>
  </w:style>
  <w:style w:type="character" w:styleId="919" w:customStyle="1">
    <w:name w:val="Нижний колонтитул Знак"/>
    <w:basedOn w:val="741"/>
    <w:link w:val="765"/>
    <w:uiPriority w:val="99"/>
  </w:style>
  <w:style w:type="character" w:styleId="920">
    <w:name w:val="page number"/>
    <w:basedOn w:val="741"/>
  </w:style>
  <w:style w:type="character" w:styleId="921" w:customStyle="1">
    <w:name w:val="Верхний колонтитул Знак"/>
    <w:link w:val="763"/>
    <w:uiPriority w:val="99"/>
  </w:style>
  <w:style w:type="paragraph" w:styleId="922">
    <w:name w:val="Balloon Text"/>
    <w:basedOn w:val="731"/>
    <w:link w:val="923"/>
    <w:rPr>
      <w:rFonts w:ascii="Segoe UI" w:hAnsi="Segoe UI"/>
      <w:sz w:val="18"/>
      <w:szCs w:val="18"/>
      <w:lang w:val="en-US" w:eastAsia="en-US"/>
    </w:rPr>
  </w:style>
  <w:style w:type="character" w:styleId="923" w:customStyle="1">
    <w:name w:val="Текст выноски Знак"/>
    <w:link w:val="922"/>
    <w:rPr>
      <w:rFonts w:ascii="Segoe UI" w:hAnsi="Segoe UI" w:cs="Segoe UI"/>
      <w:sz w:val="18"/>
      <w:szCs w:val="18"/>
    </w:rPr>
  </w:style>
  <w:style w:type="paragraph" w:styleId="924" w:customStyle="1">
    <w:name w:val="Форма"/>
    <w:rPr>
      <w:sz w:val="28"/>
      <w:szCs w:val="28"/>
      <w:lang w:eastAsia="ru-RU"/>
    </w:rPr>
  </w:style>
  <w:style w:type="paragraph" w:styleId="92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2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927">
    <w:name w:val="annotation reference"/>
    <w:rPr>
      <w:sz w:val="16"/>
      <w:szCs w:val="16"/>
    </w:rPr>
  </w:style>
  <w:style w:type="paragraph" w:styleId="928">
    <w:name w:val="annotation text"/>
    <w:basedOn w:val="731"/>
    <w:link w:val="929"/>
  </w:style>
  <w:style w:type="character" w:styleId="929" w:customStyle="1">
    <w:name w:val="Текст примечания Знак"/>
    <w:basedOn w:val="741"/>
    <w:link w:val="928"/>
  </w:style>
  <w:style w:type="paragraph" w:styleId="930">
    <w:name w:val="annotation subject"/>
    <w:basedOn w:val="928"/>
    <w:next w:val="928"/>
    <w:link w:val="931"/>
    <w:rPr>
      <w:b/>
      <w:bCs/>
    </w:rPr>
  </w:style>
  <w:style w:type="character" w:styleId="931" w:customStyle="1">
    <w:name w:val="Тема примечания Знак"/>
    <w:link w:val="930"/>
    <w:rPr>
      <w:b/>
      <w:bCs/>
    </w:rPr>
  </w:style>
  <w:style w:type="character" w:styleId="932" w:customStyle="1">
    <w:name w:val="Стиль1 Знак"/>
    <w:link w:val="933"/>
    <w:rPr>
      <w:sz w:val="28"/>
      <w:szCs w:val="28"/>
    </w:rPr>
  </w:style>
  <w:style w:type="paragraph" w:styleId="933" w:customStyle="1">
    <w:name w:val="Стиль1"/>
    <w:basedOn w:val="731"/>
    <w:link w:val="932"/>
    <w:qFormat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9</cp:revision>
  <dcterms:created xsi:type="dcterms:W3CDTF">2025-01-24T10:27:00Z</dcterms:created>
  <dcterms:modified xsi:type="dcterms:W3CDTF">2025-02-11T10:43:53Z</dcterms:modified>
  <cp:version>1048576</cp:version>
</cp:coreProperties>
</file>