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5" cy="1473835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7383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16.0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5387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spacing w:line="240" w:lineRule="exact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bidi="ru-RU"/>
        </w:rPr>
        <w:t xml:space="preserve">п</w:t>
      </w:r>
      <w:r>
        <w:rPr>
          <w:b/>
          <w:sz w:val="28"/>
          <w:szCs w:val="28"/>
          <w:lang w:bidi="ru-RU"/>
        </w:rPr>
        <w:t xml:space="preserve">остановлени</w:t>
      </w:r>
      <w:r>
        <w:rPr>
          <w:b/>
          <w:sz w:val="28"/>
          <w:szCs w:val="28"/>
          <w:lang w:bidi="ru-RU"/>
        </w:rPr>
        <w:t xml:space="preserve">е</w:t>
      </w:r>
      <w:r>
        <w:rPr>
          <w:b/>
          <w:sz w:val="28"/>
          <w:szCs w:val="28"/>
          <w:lang w:bidi="ru-RU"/>
        </w:rPr>
        <w:t xml:space="preserve"> админи</w:t>
      </w:r>
      <w:r>
        <w:rPr>
          <w:b/>
          <w:sz w:val="28"/>
          <w:szCs w:val="28"/>
          <w:lang w:bidi="ru-RU"/>
        </w:rPr>
        <w:t xml:space="preserve">страции города Перми от 04</w:t>
      </w:r>
      <w:r>
        <w:rPr>
          <w:b/>
          <w:sz w:val="28"/>
          <w:szCs w:val="28"/>
          <w:lang w:bidi="ru-RU"/>
        </w:rPr>
        <w:t xml:space="preserve">.07.</w:t>
      </w:r>
      <w:r>
        <w:rPr>
          <w:b/>
          <w:sz w:val="28"/>
          <w:szCs w:val="28"/>
          <w:lang w:bidi="ru-RU"/>
        </w:rPr>
        <w:t xml:space="preserve">2012</w:t>
      </w:r>
      <w:r>
        <w:rPr>
          <w:b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 xml:space="preserve">№ 359 </w:t>
      </w: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pStyle w:val="666"/>
        <w:ind w:right="5387"/>
        <w:spacing w:line="240" w:lineRule="exact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«Об установлении расходного обязательства по вопросам местного значения в сфере жилищных отношений»</w:t>
      </w:r>
      <w:r>
        <w:rPr>
          <w:b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целях 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Перми от 04 июля 2012 г. № 359 «Об установлении расходного обязательства по вопросам местного знач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сфере жилищных отношений» (в ред. от 30.12.2016 № 1211, от 23.10.2017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932</w:t>
      </w:r>
      <w:r>
        <w:rPr>
          <w:sz w:val="28"/>
          <w:szCs w:val="28"/>
        </w:rPr>
        <w:t xml:space="preserve">, от 08.07.2020 № 585</w:t>
      </w:r>
      <w:r>
        <w:rPr>
          <w:sz w:val="28"/>
          <w:szCs w:val="28"/>
        </w:rPr>
        <w:t xml:space="preserve">, от 28.12.2021 № 1242</w:t>
      </w:r>
      <w:r>
        <w:rPr>
          <w:sz w:val="28"/>
          <w:szCs w:val="28"/>
        </w:rPr>
        <w:t xml:space="preserve">, от 30.05.2022 № 417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01.11.2022 № 1108</w:t>
      </w:r>
      <w:r>
        <w:rPr>
          <w:sz w:val="28"/>
          <w:szCs w:val="28"/>
        </w:rPr>
        <w:t xml:space="preserve">, от 22.08.2023 № 749, от 21.12.2023 № 1447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 признать утратившим силу;</w:t>
      </w:r>
      <w:r>
        <w:rPr>
          <w:sz w:val="28"/>
          <w:szCs w:val="28"/>
        </w:rPr>
      </w:r>
    </w:p>
    <w:p>
      <w:pPr>
        <w:pStyle w:val="666"/>
        <w:ind w:left="142" w:firstLine="567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пункт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«2.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ведение обследования</w:t>
      </w:r>
      <w:r>
        <w:rPr>
          <w:sz w:val="28"/>
          <w:szCs w:val="28"/>
        </w:rPr>
        <w:t xml:space="preserve"> технического состояния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многоквартирных жилых домов, жилых помещений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  <w:t xml:space="preserve">»;</w:t>
      </w:r>
      <w:r>
        <w:rPr>
          <w:rFonts w:eastAsia="Calibri"/>
          <w:bCs/>
          <w:sz w:val="28"/>
          <w:szCs w:val="28"/>
        </w:rPr>
      </w:r>
    </w:p>
    <w:p>
      <w:pPr>
        <w:pStyle w:val="666"/>
        <w:ind w:left="142"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1.3. </w:t>
      </w:r>
      <w:r>
        <w:rPr>
          <w:rFonts w:eastAsia="Calibri"/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«проведение» слова «технического обследов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ния» заменить словами «обследования технического состояния»;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пункт 2.7 изложить в следующей редакции:</w:t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«2.7. проведение мероприятий по сбор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платы за наем муниципальных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лых помещений, входящих в состав имущества муниципальной ка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ны;</w:t>
      </w:r>
      <w:r>
        <w:rPr>
          <w:rFonts w:eastAsia="Calibri"/>
          <w:bCs/>
          <w:sz w:val="28"/>
          <w:szCs w:val="28"/>
        </w:rPr>
        <w:t xml:space="preserve">»;</w:t>
      </w:r>
      <w:r>
        <w:rPr>
          <w:rFonts w:eastAsia="Calibri"/>
          <w:bCs/>
          <w:sz w:val="28"/>
          <w:szCs w:val="28"/>
        </w:rPr>
      </w:r>
    </w:p>
    <w:p>
      <w:pPr>
        <w:pStyle w:val="666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2.14 изложить в следующей редакции:</w:t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«2.14. п</w:t>
      </w:r>
      <w:r>
        <w:rPr>
          <w:sz w:val="28"/>
          <w:szCs w:val="28"/>
        </w:rPr>
        <w:t xml:space="preserve">риобретение жилых помещений в состав маневренного </w:t>
      </w:r>
      <w:r>
        <w:rPr>
          <w:sz w:val="28"/>
          <w:szCs w:val="28"/>
        </w:rPr>
        <w:t xml:space="preserve">жилищного фонда с целью формирования специализированного жилищного фонда</w:t>
      </w:r>
      <w:r>
        <w:rPr>
          <w:rFonts w:eastAsia="Calibri"/>
          <w:sz w:val="28"/>
          <w:szCs w:val="28"/>
          <w:lang w:eastAsia="en-US"/>
        </w:rPr>
        <w:t xml:space="preserve">;»;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"/>
        <w:gridCol w:w="3149"/>
        <w:gridCol w:w="6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3"/>
        </w:trPr>
        <w:tc>
          <w:tcPr>
            <w:tcW w:w="248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53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рганизация пересел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граждан из непр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годного для прожив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и аварийного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лищного фонда в ра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ках муниципальных программ путем выпл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ты возмещения за из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маем</w:t>
            </w:r>
            <w:r>
              <w:rPr>
                <w:sz w:val="28"/>
                <w:szCs w:val="28"/>
              </w:rPr>
              <w:t xml:space="preserve">ые</w:t>
            </w:r>
            <w:r>
              <w:rPr>
                <w:sz w:val="28"/>
                <w:szCs w:val="28"/>
              </w:rPr>
              <w:t xml:space="preserve"> у собственн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ков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ые</w:t>
            </w:r>
            <w:r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 xml:space="preserve">я,</w:t>
            </w:r>
            <w:r>
              <w:rPr>
                <w:sz w:val="28"/>
                <w:szCs w:val="28"/>
              </w:rPr>
              <w:t xml:space="preserve"> предоставления благ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устроенн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жил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, приобрете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управлением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лищных отношений 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министрации города Перми</w:t>
            </w:r>
            <w:r>
              <w:rPr>
                <w:sz w:val="28"/>
                <w:szCs w:val="28"/>
              </w:rPr>
              <w:t xml:space="preserve"> (в том числе</w:t>
            </w:r>
            <w:r>
              <w:rPr>
                <w:sz w:val="28"/>
                <w:szCs w:val="28"/>
              </w:rPr>
              <w:t xml:space="preserve"> в целях исполнения 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дебных актов об уст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новлении размера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платы возмещения за изымаем</w:t>
            </w:r>
            <w:r>
              <w:rPr>
                <w:sz w:val="28"/>
                <w:szCs w:val="28"/>
              </w:rPr>
              <w:t xml:space="preserve">ые</w:t>
            </w:r>
            <w:r>
              <w:rPr>
                <w:sz w:val="28"/>
                <w:szCs w:val="28"/>
              </w:rPr>
              <w:t xml:space="preserve"> у собстве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ников жил</w:t>
            </w:r>
            <w:r>
              <w:rPr>
                <w:sz w:val="28"/>
                <w:szCs w:val="28"/>
              </w:rPr>
              <w:t xml:space="preserve">ые</w:t>
            </w:r>
            <w:r>
              <w:rPr>
                <w:sz w:val="28"/>
                <w:szCs w:val="28"/>
              </w:rPr>
              <w:t xml:space="preserve"> помещ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или о предоставл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нии благ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устроенн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жил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, а также в целях софина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сирования расх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дов с вышестоящими бюдж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тами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в том числе в ц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лях </w:t>
            </w:r>
            <w:r>
              <w:rPr>
                <w:sz w:val="28"/>
                <w:szCs w:val="28"/>
              </w:rPr>
              <w:t xml:space="preserve">расселения жили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ного фонда на террит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рии города Перми, 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знанного аварийным после 1 января 2017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да, в целях предотвр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щения чрезв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чайных ситу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собственнику жилого помещения возмещения за жилое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щение при изъятии з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мельного участка для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ных нужд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части превышения ра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мера возмещения за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лое помещение для пер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селения граждан из ав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рийного жилищного фо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да над планируемой ра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четной стоимостью, установленной Прав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ством Пермского края, действующе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на дату составления расч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та по планированию (изменен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ям)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199" w:type="pct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деляется по формуле: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жилых помещений, необходимая для п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реселения граждан из непригодного для прожив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и аварийного жилищного фонда x расчетная стоимость 1 кв. м площади жилых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асчетная стоимость 1 кв. м площади жилых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щений определяется на основании действующ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на дату составления расчета по планированию (и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менениям) постановления Правительства Пермск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края об утверждении корректирующих коэфф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циентов по городским, муниципальным округам Пермского края и средней расчетной стоим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 общей площади жилья по городским,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ципальным округам Пермского края для расчета размера субсидий, предоставляемых гражданам из бюджета Пермского края на строительство и 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обретение жилых помещений</w:t>
            </w:r>
            <w:r>
              <w:rPr>
                <w:sz w:val="28"/>
                <w:szCs w:val="28"/>
              </w:rPr>
              <w:t xml:space="preserve"> (далее - Постановл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 ППК об утверждении средней расчетной сто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мости 1 кв. м общей площади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лья)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асчетный объем бюджетных ассигнований опр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деляется плановым методом на основании фактич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ски заключенных договоров изъятия жилых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щений на дату составления расчета по планиров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 (изменен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ям)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2 признать утратившей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3106"/>
        <w:gridCol w:w="6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pct"/>
            <w:vAlign w:val="top"/>
            <w:textDirection w:val="lrTb"/>
            <w:noWrap w:val="false"/>
          </w:tcPr>
          <w:p>
            <w:pPr>
              <w:pStyle w:val="666"/>
              <w:tabs>
                <w:tab w:val="left" w:pos="175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 xml:space="preserve">обследов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  <w:t xml:space="preserve">ния </w:t>
            </w:r>
            <w:r>
              <w:rPr>
                <w:rFonts w:eastAsia="Calibri"/>
                <w:sz w:val="28"/>
                <w:szCs w:val="28"/>
              </w:rPr>
              <w:t xml:space="preserve">технического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стояния</w:t>
            </w:r>
            <w:r>
              <w:rPr>
                <w:rFonts w:eastAsia="Calibri"/>
                <w:sz w:val="28"/>
                <w:szCs w:val="28"/>
              </w:rPr>
              <w:t xml:space="preserve"> многокварти</w:t>
            </w:r>
            <w:r>
              <w:rPr>
                <w:rFonts w:eastAsia="Calibri"/>
                <w:sz w:val="28"/>
                <w:szCs w:val="28"/>
              </w:rPr>
              <w:t xml:space="preserve">р</w:t>
            </w:r>
            <w:r>
              <w:rPr>
                <w:rFonts w:eastAsia="Calibri"/>
                <w:sz w:val="28"/>
                <w:szCs w:val="28"/>
              </w:rPr>
              <w:t xml:space="preserve">ных жилых домов, ж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лых помещ</w:t>
            </w:r>
            <w:r>
              <w:rPr>
                <w:rFonts w:eastAsia="Calibri"/>
                <w:sz w:val="28"/>
                <w:szCs w:val="28"/>
              </w:rPr>
              <w:t xml:space="preserve">е</w:t>
            </w:r>
            <w:r>
              <w:rPr>
                <w:rFonts w:eastAsia="Calibri"/>
                <w:sz w:val="28"/>
                <w:szCs w:val="28"/>
              </w:rPr>
              <w:t xml:space="preserve">ний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5" w:type="pct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расчетный объем бюджетных а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сигнований </w:t>
              <w:br w:type="textWrapping" w:clear="all"/>
              <w:t xml:space="preserve">опр</w:t>
            </w:r>
            <w:r>
              <w:rPr>
                <w:rFonts w:eastAsia="Calibri"/>
                <w:sz w:val="28"/>
                <w:szCs w:val="28"/>
              </w:rPr>
              <w:t xml:space="preserve">е</w:t>
            </w:r>
            <w:r>
              <w:rPr>
                <w:rFonts w:eastAsia="Calibri"/>
                <w:sz w:val="28"/>
                <w:szCs w:val="28"/>
              </w:rPr>
              <w:t xml:space="preserve">деляется по формуле: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 </w:t>
            </w:r>
            <w:r>
              <w:rPr>
                <w:sz w:val="28"/>
                <w:szCs w:val="28"/>
                <w:vertAlign w:val="subscript"/>
              </w:rPr>
              <w:t xml:space="preserve">провед.обследования</w:t>
            </w:r>
            <w:r>
              <w:rPr>
                <w:sz w:val="28"/>
                <w:szCs w:val="28"/>
                <w:vertAlign w:val="subscript"/>
              </w:rPr>
              <w:t xml:space="preserve"> тех.состояния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K x S x T, где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–</w:t>
            </w:r>
            <w:r>
              <w:rPr>
                <w:sz w:val="28"/>
                <w:szCs w:val="28"/>
              </w:rPr>
              <w:t xml:space="preserve"> количество объектов, по которым необходимо выполнить </w:t>
            </w:r>
            <w:r>
              <w:rPr>
                <w:rFonts w:eastAsia="Calibri"/>
                <w:sz w:val="28"/>
                <w:szCs w:val="28"/>
              </w:rPr>
              <w:t xml:space="preserve">обследования технического с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стояния (далее – обследование)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–</w:t>
            </w:r>
            <w:r>
              <w:rPr>
                <w:sz w:val="28"/>
                <w:szCs w:val="28"/>
              </w:rPr>
              <w:t xml:space="preserve"> средняя площадь объекта (многоквартирного жилого д</w:t>
            </w:r>
            <w:r>
              <w:rPr>
                <w:sz w:val="28"/>
                <w:szCs w:val="28"/>
              </w:rPr>
              <w:t xml:space="preserve">ома, жилого помещения</w:t>
            </w:r>
            <w:r>
              <w:rPr>
                <w:sz w:val="28"/>
                <w:szCs w:val="28"/>
              </w:rPr>
              <w:t xml:space="preserve">);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–</w:t>
            </w:r>
            <w:r>
              <w:rPr>
                <w:sz w:val="28"/>
                <w:szCs w:val="28"/>
              </w:rPr>
              <w:t xml:space="preserve"> минимальный размер стоимости обследования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  <w:t xml:space="preserve"> объекта (многоквартирного жилого дома, жилого помещения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инимальный размер стоимости обследования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  <w:t xml:space="preserve"> объекта определяется на основании 3 ко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мерческих ценовых предложений</w:t>
            </w:r>
            <w:r>
              <w:rPr>
                <w:sz w:val="28"/>
                <w:szCs w:val="28"/>
              </w:rPr>
              <w:t xml:space="preserve"> специализир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ванных организаций</w:t>
            </w:r>
            <w:r>
              <w:rPr>
                <w:sz w:val="28"/>
                <w:szCs w:val="28"/>
              </w:rPr>
              <w:t xml:space="preserve"> в ценах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не более полугода предшест</w:t>
            </w:r>
            <w:r>
              <w:rPr>
                <w:sz w:val="28"/>
                <w:szCs w:val="28"/>
              </w:rPr>
              <w:t xml:space="preserve">вующих</w:t>
            </w:r>
            <w:r>
              <w:rPr>
                <w:sz w:val="28"/>
                <w:szCs w:val="28"/>
              </w:rPr>
              <w:t xml:space="preserve"> планированию (изменениям), учитывающих площадь и среднюю стоимость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става работ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tbl>
      <w:tblPr>
        <w:tblW w:w="10127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88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обследов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технического </w:t>
            </w:r>
            <w:r>
              <w:rPr>
                <w:sz w:val="28"/>
                <w:szCs w:val="28"/>
              </w:rPr>
              <w:t xml:space="preserve">сост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яния</w:t>
            </w:r>
            <w:r>
              <w:rPr>
                <w:sz w:val="28"/>
                <w:szCs w:val="28"/>
              </w:rPr>
              <w:t xml:space="preserve"> многоква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тирных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лых домов, в которых отсутствуют жилые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мещения, находящиеся в муниципальной со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ственности и в отнош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нии которых имеются заключения органа го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ударственного надз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ра (контроля), согласно 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торым мног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квартирные дома имеют признаки аварийн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отдельных конструктивных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ментов здания, ухудш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их эксплуатацио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характеристик, 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водящих к снижению уровня надежности зд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ний, прочности и усто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чивости стро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тельных конструкций и основ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ний, собственники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мещений в которых не представили в межв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домстве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ную комиссию заключение специализ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рованной организации об обследовании мног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квартирного дома, за исключением мног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квартирных домов, все жилые помещения в 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торых находятся в со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ственности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сийской Федерации или субъекта Российской Фед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формуле: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 </w:t>
            </w:r>
            <w:r>
              <w:rPr>
                <w:sz w:val="28"/>
                <w:szCs w:val="28"/>
                <w:vertAlign w:val="subscript"/>
              </w:rPr>
              <w:t xml:space="preserve">провед.обследования тех.состояния</w:t>
            </w:r>
            <w:r>
              <w:rPr>
                <w:sz w:val="28"/>
                <w:szCs w:val="28"/>
              </w:rPr>
              <w:t xml:space="preserve"> = K x S x T, где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- количество объектов, по которым нео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ходимо выполнить </w:t>
            </w:r>
            <w:r>
              <w:rPr>
                <w:rFonts w:eastAsia="Calibri"/>
                <w:sz w:val="28"/>
                <w:szCs w:val="28"/>
              </w:rPr>
              <w:t xml:space="preserve">обследования технического состояния (далее – обследование)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- средняя площадь объекта (многоквартирного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ма);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- минимальный размер стоимости обсл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дования 1 кв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м многоквартирного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стоимости обслед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вания 1 кв. м многоквартирного дома о</w:t>
            </w:r>
            <w:r>
              <w:rPr>
                <w:sz w:val="28"/>
                <w:szCs w:val="28"/>
              </w:rPr>
              <w:t xml:space="preserve">пределяется на основ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нии 3 коммерческих ценовых предложений специ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лизированных организаций на обследование осно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ных строительных конструкций многокварти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ных домов, учитывающих площадь и 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нюю стоимость состава работ в ценах, не более полугода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планированию (измен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6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-57784</wp:posOffset>
                </wp:positionH>
                <wp:positionV relativeFrom="paragraph">
                  <wp:posOffset>-3809</wp:posOffset>
                </wp:positionV>
                <wp:extent cx="6456680" cy="635"/>
                <wp:effectExtent l="0" t="0" r="0" b="0"/>
                <wp:wrapNone/>
                <wp:docPr id="3" name="_x0000_s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56680" cy="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58241;o:allowoverlap:true;o:allowincell:true;mso-position-horizontal-relative:text;margin-left:-4.55pt;mso-position-horizontal:absolute;mso-position-vertical-relative:text;margin-top:-0.30pt;mso-position-vertical:absolute;width:508.40pt;height:0.0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  <w:tab/>
        <w:tab/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 6,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, 8, 9, 10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pStyle w:val="666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7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в норм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тивное состояние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ципальных жилых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мещений для послед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ющего зас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фо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площадь свободных муниципальных жилых пом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щений, требующих ремонта x минимальн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ый разм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стоимост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вида работ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66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стоимости вида работ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на основании 3 коммерческих ценовых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ложений специализированных организ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ций в ценах, не более полугода предшествующих план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рованию (измен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ниям)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тий по сб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ру платы за наем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ципальных жилых помещений, вх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дящих в состав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 муниципальной казны</w:t>
            </w:r>
            <w:r>
              <w:rPr>
                <w:sz w:val="28"/>
                <w:szCs w:val="28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каждому мероприятию по формуле: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мероприятий x минимальн</w:t>
            </w:r>
            <w:r>
              <w:rPr>
                <w:sz w:val="28"/>
                <w:szCs w:val="28"/>
              </w:rPr>
              <w:t xml:space="preserve">ый размер</w:t>
            </w:r>
            <w:r>
              <w:rPr>
                <w:sz w:val="28"/>
                <w:szCs w:val="28"/>
              </w:rPr>
              <w:t xml:space="preserve"> стоимост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мероприятия 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стоимости мероприятия опр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деляется на основании 3 коммерческих ценовых предложений специализированных организаций в ценах, не более полугода предшествующих план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рованию (измен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ниям)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технической инвентар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зации, паспортизации, получение сведений об объектах градостро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тельной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фо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объектов, по которым необходимо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полнить работы x минимальн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размер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да работ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66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66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стоимости вида работ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на основании 3 коммерческих ценовых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ложений специализированных организ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ций в ценах, не более полугода предшествующих план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рованию (измен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ниям)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судебных экспертиз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tabs>
                <w:tab w:val="left" w:pos="175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формуле: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объектов, по которым необходимо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полнить работы x минималь</w:t>
            </w:r>
            <w:r>
              <w:rPr>
                <w:sz w:val="28"/>
                <w:szCs w:val="28"/>
              </w:rPr>
              <w:t xml:space="preserve">ный размер стоимости вида</w:t>
            </w:r>
            <w:r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инимальный размер стоимости вида работ опр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деляется на основании 3 коммерческих ценовых предложений</w:t>
            </w:r>
            <w:r>
              <w:rPr>
                <w:sz w:val="28"/>
                <w:szCs w:val="28"/>
              </w:rPr>
              <w:t xml:space="preserve"> специализированных организаций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ценах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не более полугода предшествующи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нированию (изменениям)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судебных актов о предоставлении жилых помещений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формуле: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жилых помещений, необходимая для 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полнения судебных актов x расчетная стоимость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 площади жилых</w:t>
            </w:r>
            <w:r>
              <w:rPr>
                <w:sz w:val="28"/>
                <w:szCs w:val="28"/>
              </w:rPr>
              <w:t xml:space="preserve"> помещений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асчетная стоимость 1 кв. м площади жилых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щений определяется на основании действующего на дату составления расчета по планированию (изм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нениям) </w:t>
            </w:r>
            <w:r>
              <w:rPr>
                <w:sz w:val="28"/>
                <w:szCs w:val="28"/>
              </w:rPr>
              <w:t xml:space="preserve">Постановления ППК об утверждении 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ней расчетной стоимости 1 кв. м общей площади жилья)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строку 14 изложить в следующей редакции:</w:t>
      </w:r>
      <w:r>
        <w:rPr>
          <w:sz w:val="28"/>
          <w:szCs w:val="28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риобретение жилых помещений в состав маневренного жили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ного фонда с целью формирования специ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лизированного жили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ного фонда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формуле: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жилых помещений, необходимая для включения в состав маневренного жилищного фо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да x </w:t>
            </w:r>
            <w:r>
              <w:rPr>
                <w:sz w:val="28"/>
                <w:szCs w:val="28"/>
              </w:rPr>
              <w:t xml:space="preserve">расчетная стоимость 1 кв. м площади жилых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мещений. 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стоимость 1 кв. м площади жилых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щений определяется на основании действующ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на дату составления расчета по планированию (изм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нениям) </w:t>
            </w:r>
            <w:r>
              <w:rPr>
                <w:sz w:val="28"/>
                <w:szCs w:val="28"/>
              </w:rPr>
              <w:t xml:space="preserve">Постановления ППК об утверждении 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ней расчетной стоимости 1 кв. м общей площади жилья)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строку 16 изложить в следующей редакции:</w:t>
      </w:r>
      <w:r>
        <w:rPr>
          <w:sz w:val="28"/>
          <w:szCs w:val="28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изъятия нежилых помещений путем выкупа, расп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ложенных в аварийных и подлежащих сносу или реконструкции многоквартирных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лых домах, в том числе на основании решений, определений судебных органов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ляется по формуле:</w:t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нежилых помещений, планируемых к из</w:t>
            </w:r>
            <w:r>
              <w:rPr>
                <w:sz w:val="28"/>
                <w:szCs w:val="28"/>
              </w:rPr>
              <w:t xml:space="preserve">ъ</w:t>
            </w:r>
            <w:r>
              <w:rPr>
                <w:sz w:val="28"/>
                <w:szCs w:val="28"/>
              </w:rPr>
              <w:t xml:space="preserve">ятию x расчетная стоимость 1 кв. м площади неж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лых</w:t>
            </w:r>
            <w:r>
              <w:rPr>
                <w:sz w:val="28"/>
                <w:szCs w:val="28"/>
              </w:rPr>
              <w:t xml:space="preserve"> помещений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асчетная стоимость 1 кв. м площади нежилых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мещений определяется на основании действующего на дату составления расчета по планированию (и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менениям) </w:t>
            </w:r>
            <w:r>
              <w:rPr>
                <w:sz w:val="28"/>
                <w:szCs w:val="28"/>
              </w:rPr>
              <w:t xml:space="preserve">Постановления ППК об утверждении средней расчетной стоимости 1 кв. м общей площ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ди жилья)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rStyle w:val="676"/>
      </w:rPr>
      <w:framePr w:wrap="around" w:vAnchor="text" w:hAnchor="margin" w:xAlign="center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end"/>
    </w:r>
    <w:r>
      <w:rPr>
        <w:rStyle w:val="676"/>
      </w:rPr>
    </w:r>
    <w:r>
      <w:rPr>
        <w:rStyle w:val="676"/>
      </w:rPr>
    </w:r>
  </w:p>
  <w:p>
    <w:pPr>
      <w:pStyle w:val="6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next w:val="666"/>
    <w:link w:val="666"/>
    <w:qFormat/>
    <w:rPr>
      <w:lang w:val="ru-RU" w:eastAsia="ru-RU" w:bidi="ar-SA"/>
    </w:rPr>
  </w:style>
  <w:style w:type="paragraph" w:styleId="667">
    <w:name w:val="Заголовок 1"/>
    <w:basedOn w:val="666"/>
    <w:next w:val="666"/>
    <w:link w:val="666"/>
    <w:qFormat/>
    <w:pPr>
      <w:ind w:right="-1" w:firstLine="709"/>
      <w:jc w:val="both"/>
      <w:keepNext/>
      <w:outlineLvl w:val="0"/>
    </w:pPr>
    <w:rPr>
      <w:sz w:val="24"/>
    </w:rPr>
  </w:style>
  <w:style w:type="paragraph" w:styleId="668">
    <w:name w:val="Заголовок 2"/>
    <w:basedOn w:val="666"/>
    <w:next w:val="666"/>
    <w:link w:val="666"/>
    <w:qFormat/>
    <w:pPr>
      <w:ind w:right="-1"/>
      <w:jc w:val="both"/>
      <w:keepNext/>
      <w:outlineLvl w:val="1"/>
    </w:pPr>
    <w:rPr>
      <w:sz w:val="24"/>
    </w:rPr>
  </w:style>
  <w:style w:type="character" w:styleId="669">
    <w:name w:val="Основной шрифт абзаца"/>
    <w:next w:val="669"/>
    <w:link w:val="666"/>
    <w:semiHidden/>
  </w:style>
  <w:style w:type="table" w:styleId="670">
    <w:name w:val="Обычная таблица"/>
    <w:next w:val="670"/>
    <w:link w:val="666"/>
    <w:semiHidden/>
    <w:tblPr/>
  </w:style>
  <w:style w:type="numbering" w:styleId="671">
    <w:name w:val="Нет списка"/>
    <w:next w:val="671"/>
    <w:link w:val="666"/>
    <w:semiHidden/>
  </w:style>
  <w:style w:type="paragraph" w:styleId="672">
    <w:name w:val="Название объекта"/>
    <w:basedOn w:val="666"/>
    <w:next w:val="666"/>
    <w:link w:val="6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3">
    <w:name w:val="Основной текст"/>
    <w:basedOn w:val="666"/>
    <w:next w:val="673"/>
    <w:link w:val="701"/>
    <w:pPr>
      <w:ind w:right="3117"/>
    </w:pPr>
    <w:rPr>
      <w:rFonts w:ascii="Courier New" w:hAnsi="Courier New"/>
      <w:sz w:val="26"/>
      <w:lang w:val="en-US" w:eastAsia="en-US"/>
    </w:rPr>
  </w:style>
  <w:style w:type="paragraph" w:styleId="674">
    <w:name w:val="Основной текст с отступом"/>
    <w:basedOn w:val="666"/>
    <w:next w:val="674"/>
    <w:link w:val="666"/>
    <w:pPr>
      <w:ind w:right="-1"/>
      <w:jc w:val="both"/>
    </w:pPr>
    <w:rPr>
      <w:sz w:val="26"/>
    </w:rPr>
  </w:style>
  <w:style w:type="paragraph" w:styleId="675">
    <w:name w:val="Нижний колонтитул"/>
    <w:basedOn w:val="666"/>
    <w:next w:val="675"/>
    <w:link w:val="760"/>
    <w:uiPriority w:val="99"/>
    <w:pPr>
      <w:tabs>
        <w:tab w:val="center" w:pos="4153" w:leader="none"/>
        <w:tab w:val="right" w:pos="8306" w:leader="none"/>
      </w:tabs>
    </w:pPr>
  </w:style>
  <w:style w:type="character" w:styleId="676">
    <w:name w:val="Номер страницы"/>
    <w:basedOn w:val="669"/>
    <w:next w:val="676"/>
    <w:link w:val="666"/>
  </w:style>
  <w:style w:type="paragraph" w:styleId="677">
    <w:name w:val="Верхний колонтитул"/>
    <w:basedOn w:val="666"/>
    <w:next w:val="677"/>
    <w:link w:val="680"/>
    <w:uiPriority w:val="99"/>
    <w:pPr>
      <w:tabs>
        <w:tab w:val="center" w:pos="4153" w:leader="none"/>
        <w:tab w:val="right" w:pos="8306" w:leader="none"/>
      </w:tabs>
    </w:pPr>
  </w:style>
  <w:style w:type="paragraph" w:styleId="678">
    <w:name w:val="Текст выноски"/>
    <w:basedOn w:val="666"/>
    <w:next w:val="678"/>
    <w:link w:val="679"/>
    <w:uiPriority w:val="99"/>
    <w:rPr>
      <w:rFonts w:ascii="Segoe UI" w:hAnsi="Segoe UI"/>
      <w:sz w:val="18"/>
      <w:szCs w:val="18"/>
      <w:lang w:val="en-US" w:eastAsia="en-US"/>
    </w:rPr>
  </w:style>
  <w:style w:type="character" w:styleId="679">
    <w:name w:val="Текст выноски Знак"/>
    <w:next w:val="679"/>
    <w:link w:val="678"/>
    <w:uiPriority w:val="99"/>
    <w:rPr>
      <w:rFonts w:ascii="Segoe UI" w:hAnsi="Segoe UI" w:cs="Segoe UI"/>
      <w:sz w:val="18"/>
      <w:szCs w:val="18"/>
    </w:rPr>
  </w:style>
  <w:style w:type="character" w:styleId="680">
    <w:name w:val="Верхний колонтитул Знак"/>
    <w:next w:val="680"/>
    <w:link w:val="677"/>
    <w:uiPriority w:val="99"/>
  </w:style>
  <w:style w:type="numbering" w:styleId="681">
    <w:name w:val="Нет списка1"/>
    <w:next w:val="671"/>
    <w:link w:val="666"/>
    <w:uiPriority w:val="99"/>
    <w:semiHidden/>
    <w:unhideWhenUsed/>
  </w:style>
  <w:style w:type="paragraph" w:styleId="682">
    <w:name w:val="Без интервала"/>
    <w:next w:val="682"/>
    <w:link w:val="66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83">
    <w:name w:val="Гиперссылка"/>
    <w:next w:val="683"/>
    <w:link w:val="666"/>
    <w:uiPriority w:val="99"/>
    <w:unhideWhenUsed/>
    <w:rPr>
      <w:color w:val="0000ff"/>
      <w:u w:val="single"/>
    </w:rPr>
  </w:style>
  <w:style w:type="character" w:styleId="684">
    <w:name w:val="Просмотренная гиперссылка"/>
    <w:next w:val="684"/>
    <w:link w:val="666"/>
    <w:uiPriority w:val="99"/>
    <w:unhideWhenUsed/>
    <w:rPr>
      <w:color w:val="800080"/>
      <w:u w:val="single"/>
    </w:rPr>
  </w:style>
  <w:style w:type="paragraph" w:styleId="685">
    <w:name w:val="xl65"/>
    <w:basedOn w:val="666"/>
    <w:next w:val="685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6">
    <w:name w:val="xl66"/>
    <w:basedOn w:val="666"/>
    <w:next w:val="686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7">
    <w:name w:val="xl67"/>
    <w:basedOn w:val="666"/>
    <w:next w:val="687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88">
    <w:name w:val="xl68"/>
    <w:basedOn w:val="666"/>
    <w:next w:val="688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9">
    <w:name w:val="xl69"/>
    <w:basedOn w:val="666"/>
    <w:next w:val="689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0">
    <w:name w:val="xl70"/>
    <w:basedOn w:val="666"/>
    <w:next w:val="690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91">
    <w:name w:val="xl71"/>
    <w:basedOn w:val="666"/>
    <w:next w:val="691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2">
    <w:name w:val="xl72"/>
    <w:basedOn w:val="666"/>
    <w:next w:val="692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3">
    <w:name w:val="xl73"/>
    <w:basedOn w:val="666"/>
    <w:next w:val="693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4">
    <w:name w:val="xl74"/>
    <w:basedOn w:val="666"/>
    <w:next w:val="694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5">
    <w:name w:val="xl75"/>
    <w:basedOn w:val="666"/>
    <w:next w:val="695"/>
    <w:link w:val="6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6">
    <w:name w:val="xl76"/>
    <w:basedOn w:val="666"/>
    <w:next w:val="696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7">
    <w:name w:val="xl77"/>
    <w:basedOn w:val="666"/>
    <w:next w:val="697"/>
    <w:link w:val="66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8">
    <w:name w:val="xl78"/>
    <w:basedOn w:val="666"/>
    <w:next w:val="698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9">
    <w:name w:val="xl79"/>
    <w:basedOn w:val="666"/>
    <w:next w:val="699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0">
    <w:name w:val="Форма"/>
    <w:next w:val="700"/>
    <w:link w:val="666"/>
    <w:rPr>
      <w:sz w:val="28"/>
      <w:szCs w:val="28"/>
      <w:lang w:val="ru-RU" w:eastAsia="ru-RU" w:bidi="ar-SA"/>
    </w:rPr>
  </w:style>
  <w:style w:type="character" w:styleId="701">
    <w:name w:val="Основной текст Знак"/>
    <w:next w:val="701"/>
    <w:link w:val="673"/>
    <w:rPr>
      <w:rFonts w:ascii="Courier New" w:hAnsi="Courier New"/>
      <w:sz w:val="26"/>
    </w:rPr>
  </w:style>
  <w:style w:type="paragraph" w:styleId="702">
    <w:name w:val="ConsPlusNormal"/>
    <w:next w:val="702"/>
    <w:link w:val="666"/>
    <w:rPr>
      <w:sz w:val="28"/>
      <w:szCs w:val="28"/>
      <w:lang w:val="ru-RU" w:eastAsia="ru-RU" w:bidi="ar-SA"/>
    </w:rPr>
  </w:style>
  <w:style w:type="numbering" w:styleId="703">
    <w:name w:val="Нет списка11"/>
    <w:next w:val="671"/>
    <w:link w:val="666"/>
    <w:uiPriority w:val="99"/>
    <w:semiHidden/>
    <w:unhideWhenUsed/>
  </w:style>
  <w:style w:type="numbering" w:styleId="704">
    <w:name w:val="Нет списка111"/>
    <w:next w:val="671"/>
    <w:link w:val="666"/>
    <w:uiPriority w:val="99"/>
    <w:semiHidden/>
    <w:unhideWhenUsed/>
  </w:style>
  <w:style w:type="paragraph" w:styleId="705">
    <w:name w:val="font5"/>
    <w:basedOn w:val="666"/>
    <w:next w:val="705"/>
    <w:link w:val="66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6">
    <w:name w:val="xl80"/>
    <w:basedOn w:val="666"/>
    <w:next w:val="706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07">
    <w:name w:val="xl81"/>
    <w:basedOn w:val="666"/>
    <w:next w:val="707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08">
    <w:name w:val="xl82"/>
    <w:basedOn w:val="666"/>
    <w:next w:val="708"/>
    <w:link w:val="66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09">
    <w:name w:val="Сетка таблицы"/>
    <w:basedOn w:val="670"/>
    <w:next w:val="709"/>
    <w:link w:val="66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10">
    <w:name w:val="xl83"/>
    <w:basedOn w:val="666"/>
    <w:next w:val="710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1">
    <w:name w:val="xl84"/>
    <w:basedOn w:val="666"/>
    <w:next w:val="711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2">
    <w:name w:val="xl85"/>
    <w:basedOn w:val="666"/>
    <w:next w:val="71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3">
    <w:name w:val="xl86"/>
    <w:basedOn w:val="666"/>
    <w:next w:val="713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4">
    <w:name w:val="xl87"/>
    <w:basedOn w:val="666"/>
    <w:next w:val="714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5">
    <w:name w:val="xl88"/>
    <w:basedOn w:val="666"/>
    <w:next w:val="715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6">
    <w:name w:val="xl89"/>
    <w:basedOn w:val="666"/>
    <w:next w:val="716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7">
    <w:name w:val="xl90"/>
    <w:basedOn w:val="666"/>
    <w:next w:val="717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8">
    <w:name w:val="xl91"/>
    <w:basedOn w:val="666"/>
    <w:next w:val="718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9">
    <w:name w:val="xl92"/>
    <w:basedOn w:val="666"/>
    <w:next w:val="719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20">
    <w:name w:val="xl93"/>
    <w:basedOn w:val="666"/>
    <w:next w:val="720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1">
    <w:name w:val="xl94"/>
    <w:basedOn w:val="666"/>
    <w:next w:val="721"/>
    <w:link w:val="66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2">
    <w:name w:val="xl95"/>
    <w:basedOn w:val="666"/>
    <w:next w:val="72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3">
    <w:name w:val="xl96"/>
    <w:basedOn w:val="666"/>
    <w:next w:val="723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4">
    <w:name w:val="xl97"/>
    <w:basedOn w:val="666"/>
    <w:next w:val="724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5">
    <w:name w:val="xl98"/>
    <w:basedOn w:val="666"/>
    <w:next w:val="725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26">
    <w:name w:val="xl99"/>
    <w:basedOn w:val="666"/>
    <w:next w:val="726"/>
    <w:link w:val="66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7">
    <w:name w:val="xl100"/>
    <w:basedOn w:val="666"/>
    <w:next w:val="727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01"/>
    <w:basedOn w:val="666"/>
    <w:next w:val="728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9">
    <w:name w:val="xl102"/>
    <w:basedOn w:val="666"/>
    <w:next w:val="729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0">
    <w:name w:val="xl103"/>
    <w:basedOn w:val="666"/>
    <w:next w:val="730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1">
    <w:name w:val="xl104"/>
    <w:basedOn w:val="666"/>
    <w:next w:val="731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05"/>
    <w:basedOn w:val="666"/>
    <w:next w:val="73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06"/>
    <w:basedOn w:val="666"/>
    <w:next w:val="733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34">
    <w:name w:val="xl107"/>
    <w:basedOn w:val="666"/>
    <w:next w:val="734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08"/>
    <w:basedOn w:val="666"/>
    <w:next w:val="735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6">
    <w:name w:val="xl109"/>
    <w:basedOn w:val="666"/>
    <w:next w:val="736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10"/>
    <w:basedOn w:val="666"/>
    <w:next w:val="737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8">
    <w:name w:val="xl111"/>
    <w:basedOn w:val="666"/>
    <w:next w:val="738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9">
    <w:name w:val="xl112"/>
    <w:basedOn w:val="666"/>
    <w:next w:val="739"/>
    <w:link w:val="66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40">
    <w:name w:val="xl113"/>
    <w:basedOn w:val="666"/>
    <w:next w:val="740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4"/>
    <w:basedOn w:val="666"/>
    <w:next w:val="741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15"/>
    <w:basedOn w:val="666"/>
    <w:next w:val="742"/>
    <w:link w:val="66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43">
    <w:name w:val="xl116"/>
    <w:basedOn w:val="666"/>
    <w:next w:val="743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4">
    <w:name w:val="xl117"/>
    <w:basedOn w:val="666"/>
    <w:next w:val="744"/>
    <w:link w:val="66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5">
    <w:name w:val="xl118"/>
    <w:basedOn w:val="666"/>
    <w:next w:val="745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19"/>
    <w:basedOn w:val="666"/>
    <w:next w:val="746"/>
    <w:link w:val="6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7">
    <w:name w:val="xl120"/>
    <w:basedOn w:val="666"/>
    <w:next w:val="747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8">
    <w:name w:val="xl121"/>
    <w:basedOn w:val="666"/>
    <w:next w:val="748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9">
    <w:name w:val="xl122"/>
    <w:basedOn w:val="666"/>
    <w:next w:val="749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>
    <w:name w:val="xl123"/>
    <w:basedOn w:val="666"/>
    <w:next w:val="750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1">
    <w:name w:val="xl124"/>
    <w:basedOn w:val="666"/>
    <w:next w:val="751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2">
    <w:name w:val="xl125"/>
    <w:basedOn w:val="666"/>
    <w:next w:val="75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53">
    <w:name w:val="Нет списка2"/>
    <w:next w:val="671"/>
    <w:link w:val="666"/>
    <w:uiPriority w:val="99"/>
    <w:semiHidden/>
    <w:unhideWhenUsed/>
  </w:style>
  <w:style w:type="numbering" w:styleId="754">
    <w:name w:val="Нет списка3"/>
    <w:next w:val="671"/>
    <w:link w:val="666"/>
    <w:uiPriority w:val="99"/>
    <w:semiHidden/>
    <w:unhideWhenUsed/>
  </w:style>
  <w:style w:type="paragraph" w:styleId="755">
    <w:name w:val="font6"/>
    <w:basedOn w:val="666"/>
    <w:next w:val="755"/>
    <w:link w:val="6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6">
    <w:name w:val="font7"/>
    <w:basedOn w:val="666"/>
    <w:next w:val="756"/>
    <w:link w:val="6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7">
    <w:name w:val="font8"/>
    <w:basedOn w:val="666"/>
    <w:next w:val="757"/>
    <w:link w:val="66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8">
    <w:name w:val="Нет списка4"/>
    <w:next w:val="671"/>
    <w:link w:val="666"/>
    <w:uiPriority w:val="99"/>
    <w:semiHidden/>
    <w:unhideWhenUsed/>
  </w:style>
  <w:style w:type="paragraph" w:styleId="759">
    <w:name w:val="Абзац списка"/>
    <w:basedOn w:val="666"/>
    <w:next w:val="759"/>
    <w:link w:val="6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60">
    <w:name w:val="Нижний колонтитул Знак"/>
    <w:next w:val="760"/>
    <w:link w:val="675"/>
    <w:uiPriority w:val="99"/>
  </w:style>
  <w:style w:type="paragraph" w:styleId="761">
    <w:name w:val="Стиль Первая строка:  0 см"/>
    <w:basedOn w:val="666"/>
    <w:next w:val="761"/>
    <w:link w:val="666"/>
    <w:pPr>
      <w:jc w:val="both"/>
    </w:pPr>
    <w:rPr>
      <w:sz w:val="28"/>
    </w:rPr>
  </w:style>
  <w:style w:type="character" w:styleId="762">
    <w:name w:val="Выделение"/>
    <w:next w:val="762"/>
    <w:link w:val="666"/>
    <w:uiPriority w:val="20"/>
    <w:qFormat/>
    <w:rPr>
      <w:i/>
      <w:iCs/>
    </w:rPr>
  </w:style>
  <w:style w:type="paragraph" w:styleId="763">
    <w:name w:val="ConsPlusNonformat"/>
    <w:next w:val="763"/>
    <w:link w:val="666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character" w:styleId="2356" w:default="1">
    <w:name w:val="Default Paragraph Font"/>
    <w:uiPriority w:val="1"/>
    <w:semiHidden/>
    <w:unhideWhenUsed/>
  </w:style>
  <w:style w:type="numbering" w:styleId="2357" w:default="1">
    <w:name w:val="No List"/>
    <w:uiPriority w:val="99"/>
    <w:semiHidden/>
    <w:unhideWhenUsed/>
  </w:style>
  <w:style w:type="table" w:styleId="23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dudanova-ov</cp:lastModifiedBy>
  <cp:revision>4</cp:revision>
  <dcterms:created xsi:type="dcterms:W3CDTF">2024-11-06T07:01:00Z</dcterms:created>
  <dcterms:modified xsi:type="dcterms:W3CDTF">2025-02-18T10:44:58Z</dcterms:modified>
  <cp:version>917504</cp:version>
</cp:coreProperties>
</file>