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34549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935 «Об утверждении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размера нормативных затрат на оказание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спорта» на 2025 год и плановый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период 2026 и 2027 годов, значений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отраслевых корректирующих коэффициентов,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размера нормативных затрат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на содержание 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уплату налогов на 2025 год и плановый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период 2026 и 2027 годов и значений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натуральных норм, используемых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r>
        <w:rPr>
          <w:b/>
        </w:rPr>
      </w:r>
      <w:r>
        <w:rPr>
          <w:b/>
        </w:rPr>
      </w:r>
    </w:p>
    <w:p>
      <w:pPr>
        <w:pStyle w:val="961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2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3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 w:type="textWrapping" w:clear="all"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</w:t>
      </w:r>
      <w:r>
        <w:rPr>
          <w:sz w:val="28"/>
          <w:szCs w:val="28"/>
        </w:rPr>
        <w:br w:type="textWrapping" w:clear="all"/>
        <w:t xml:space="preserve">(выполнение работ)»,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hyperlink r:id="rId14" w:tooltip="https://login.consultant.ru/link/?req=doc&amp;base=RLAW368&amp;n=186377&amp;dst=100447&amp;field=134&amp;date=22.04.2024" w:history="1">
        <w:r>
          <w:rPr>
            <w:sz w:val="28"/>
            <w:szCs w:val="28"/>
          </w:rPr>
          <w:t xml:space="preserve">размер</w:t>
        </w:r>
      </w:hyperlink>
      <w:r>
        <w:rPr>
          <w:sz w:val="28"/>
          <w:szCs w:val="28"/>
        </w:rPr>
        <w:t xml:space="preserve">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 на 2025 год и плановый период 2026 </w:t>
      </w:r>
      <w:r>
        <w:rPr>
          <w:sz w:val="28"/>
          <w:szCs w:val="28"/>
        </w:rPr>
        <w:br/>
        <w:t xml:space="preserve">и 2027 годов по видам спорта, равный базовому нормативу затрат по виду спорта </w:t>
      </w:r>
      <w:r>
        <w:rPr>
          <w:sz w:val="28"/>
          <w:szCs w:val="28"/>
        </w:rPr>
        <w:t xml:space="preserve">«восточн</w:t>
      </w:r>
      <w:r>
        <w:rPr>
          <w:sz w:val="28"/>
          <w:szCs w:val="28"/>
        </w:rPr>
        <w:t xml:space="preserve">ое боевое единоборство», утвержденный постановлением администрации города Перми от 17 октября 2024 г. № 935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олимпийским видам спорта», «Реализация дополнительных образовательных программ спортивной подготовки по неолимпийским видам спорта» на 2025 год и плановый период 2026 и 2027</w:t>
      </w:r>
      <w:r>
        <w:rPr>
          <w:sz w:val="28"/>
          <w:szCs w:val="28"/>
        </w:rPr>
        <w:t xml:space="preserve">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2026 и 2027 годов и значений натуральных норм, используемых при определении базовых но</w:t>
      </w:r>
      <w:r>
        <w:rPr>
          <w:sz w:val="28"/>
          <w:szCs w:val="28"/>
        </w:rPr>
        <w:t xml:space="preserve">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16.01.2025 № 15)</w:t>
      </w:r>
      <w:r>
        <w:rPr>
          <w:sz w:val="28"/>
          <w:szCs w:val="28"/>
        </w:rPr>
        <w:t xml:space="preserve">, изложив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приложению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Внести изменения в размер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 с учетом отраслевых корректирующих коэффициентов на 2025 год, утвержденный постановлением администрации города Перми от 17 октября 2024 г. № 9</w:t>
      </w:r>
      <w:r>
        <w:rPr>
          <w:sz w:val="28"/>
          <w:szCs w:val="28"/>
        </w:rPr>
        <w:t xml:space="preserve">35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 на 2025 год</w:t>
      </w:r>
      <w:r>
        <w:rPr>
          <w:sz w:val="28"/>
          <w:szCs w:val="28"/>
        </w:rPr>
        <w:t xml:space="preserve"> и плановый период 2026 и 2027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2026 и 2027 годов и значений натуральных норм, используе</w:t>
      </w:r>
      <w:r>
        <w:rPr>
          <w:sz w:val="28"/>
          <w:szCs w:val="28"/>
        </w:rPr>
        <w:t xml:space="preserve">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16.01.2025 № 15)</w:t>
      </w:r>
      <w:r>
        <w:rPr>
          <w:sz w:val="28"/>
          <w:szCs w:val="28"/>
        </w:rPr>
        <w:t xml:space="preserve">, изложив в редакции согласно приложению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Внести изменения в размер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 с учетом отраслевых корректирующих коэффициентов на плановый период 2026 и 2027 годов, утвержденный постановлением администрации города Перми от 17 октября 2024 г. № 935 </w:t>
      </w:r>
      <w:r>
        <w:rPr>
          <w:sz w:val="28"/>
          <w:szCs w:val="28"/>
        </w:rPr>
        <w:br/>
        <w:t xml:space="preserve">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</w:t>
      </w:r>
      <w:r>
        <w:rPr>
          <w:sz w:val="28"/>
          <w:szCs w:val="28"/>
        </w:rPr>
        <w:t xml:space="preserve">программ спортивной подготовки по неолимпийским видам спорта» на 2025 год </w:t>
      </w:r>
      <w:r>
        <w:rPr>
          <w:sz w:val="28"/>
          <w:szCs w:val="28"/>
        </w:rPr>
        <w:br/>
        <w:t xml:space="preserve">и плановый период 2026 и 2027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2026 и 2027 годов </w:t>
      </w:r>
      <w:r>
        <w:rPr>
          <w:sz w:val="28"/>
          <w:szCs w:val="28"/>
        </w:rPr>
        <w:br/>
        <w:t xml:space="preserve">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олимпийским видам спорта», «Реализация дополнительных образовательных программ спортивной подготовки 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16.01.2025 № 15)</w:t>
      </w:r>
      <w:r>
        <w:rPr>
          <w:sz w:val="28"/>
          <w:szCs w:val="28"/>
        </w:rPr>
        <w:t xml:space="preserve">, изложив в редакции согласно приложению 3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 Внести изменения в </w:t>
      </w:r>
      <w:hyperlink r:id="rId15" w:tooltip="https://login.consultant.ru/link/?req=doc&amp;base=RLAW368&amp;n=186377&amp;dst=101726&amp;field=134&amp;date=22.04.2024" w:history="1">
        <w:r>
          <w:rPr>
            <w:sz w:val="28"/>
            <w:szCs w:val="28"/>
          </w:rPr>
          <w:t xml:space="preserve">значения</w:t>
        </w:r>
      </w:hyperlink>
      <w:r>
        <w:rPr>
          <w:sz w:val="28"/>
          <w:szCs w:val="28"/>
        </w:rPr>
        <w:t xml:space="preserve"> отраслевых корректирующих коэффициентов, утвержденные постановлением администрации города Перми </w:t>
      </w:r>
      <w:r>
        <w:rPr>
          <w:sz w:val="28"/>
          <w:szCs w:val="28"/>
        </w:rPr>
        <w:br/>
        <w:t xml:space="preserve">от 17 октября 2024 г. № 935 «Об утверждении размера нормативных затрат </w:t>
      </w:r>
      <w:r>
        <w:rPr>
          <w:sz w:val="28"/>
          <w:szCs w:val="28"/>
        </w:rPr>
        <w:br/>
        <w:t xml:space="preserve">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 на 2025 год и плановый период 2026 </w:t>
      </w:r>
      <w:r>
        <w:rPr>
          <w:sz w:val="28"/>
          <w:szCs w:val="28"/>
        </w:rPr>
        <w:br/>
        <w:t xml:space="preserve">и 2027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2026 и 2027 годов и значений натуральных норм, используе</w:t>
      </w:r>
      <w:r>
        <w:rPr>
          <w:sz w:val="28"/>
          <w:szCs w:val="28"/>
        </w:rPr>
        <w:t xml:space="preserve">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16.01.2025 № 15)</w:t>
      </w:r>
      <w:r>
        <w:rPr>
          <w:sz w:val="28"/>
          <w:szCs w:val="28"/>
        </w:rPr>
        <w:t xml:space="preserve">, изложив в редакции согласно приложению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t xml:space="preserve">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</w:t>
      </w:r>
      <w:r>
        <w:rPr>
          <w:sz w:val="28"/>
          <w:szCs w:val="28"/>
        </w:rPr>
        <w:t xml:space="preserve">Д.К. Галиханов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14.03.2025 № 155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2025 год и плановый период 2026 и 2027 годов </w:t>
      </w:r>
      <w:r>
        <w:rPr>
          <w:b/>
          <w:sz w:val="28"/>
          <w:szCs w:val="28"/>
        </w:rPr>
        <w:br w:type="textWrapping" w:clear="all"/>
        <w:t xml:space="preserve">по видам спорта, равный базовому нормативу затрат по виду спорта «восточное боевое единоборство»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18"/>
        <w:gridCol w:w="2099"/>
        <w:gridCol w:w="2728"/>
        <w:gridCol w:w="2520"/>
        <w:gridCol w:w="2378"/>
      </w:tblGrid>
      <w:tr>
        <w:tblPrEx/>
        <w:trPr/>
        <w:tc>
          <w:tcPr>
            <w:tcW w:w="172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7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1"/>
        </w:trPr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начальной подготовки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учебно-тренировочный этап (этап спортивной специализации)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совершенствования спортивного мастерства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высшего спортивного мастерства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W w:w="172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Акробатический рок-н-рол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15488,71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50360,69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115404,89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156576,34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Гиревой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1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Акробатический рок-н-рол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15731,97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51207,74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117649,59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159512,80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Гиревой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Акробатический рок-н-рол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15731,97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51207,74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117649,59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159512,80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Гиревой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Универсальный бой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14.03.2025 № 155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</w:t>
      </w:r>
      <w:r>
        <w:rPr>
          <w:b/>
          <w:sz w:val="28"/>
          <w:szCs w:val="28"/>
        </w:rPr>
        <w:t xml:space="preserve">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 xml:space="preserve">отраслевых корректирующих коэффициентов </w:t>
      </w:r>
      <w:r>
        <w:rPr>
          <w:b/>
          <w:bCs/>
          <w:sz w:val="28"/>
          <w:szCs w:val="28"/>
        </w:rPr>
        <w:t xml:space="preserve">на 2025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17"/>
        <w:gridCol w:w="1904"/>
        <w:gridCol w:w="1843"/>
        <w:gridCol w:w="1417"/>
        <w:gridCol w:w="1276"/>
        <w:gridCol w:w="1418"/>
        <w:gridCol w:w="1275"/>
        <w:gridCol w:w="1276"/>
        <w:gridCol w:w="1276"/>
        <w:gridCol w:w="1134"/>
      </w:tblGrid>
      <w:tr>
        <w:tblPrEx/>
        <w:trPr>
          <w:trHeight w:val="537"/>
        </w:trPr>
        <w:tc>
          <w:tcPr>
            <w:tcW w:w="10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Наиме-нование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07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08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оборудова-ния,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дорогосто-ящего оборудо-вания, спортив-ного инвентаря, экипиров-ки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имущест-венного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имущест-венного комплекса здания более </w:t>
            </w:r>
            <w:r>
              <w:rPr>
                <w:sz w:val="22"/>
                <w:szCs w:val="22"/>
              </w:rPr>
              <w:br w:type="textWrapping" w:clear="all"/>
              <w:t xml:space="preserve">10 000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имущест-венного комплекса специфи-ческих спортив-ных соору-жений, включа-ющих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комплекс трампли-нов,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земель-ный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имущест-венного комплекса специфи-ческих спортив-ных сооруже-ний, включа-ющих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земель-ный участок более </w:t>
            </w:r>
            <w:r>
              <w:rPr>
                <w:sz w:val="22"/>
                <w:szCs w:val="22"/>
              </w:rPr>
              <w:br/>
              <w:t xml:space="preserve">50 000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имущест-венного комплек-са специфи-ческих спортив-ных соору-жений, включа-ющих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  <w:br/>
              <w:t xml:space="preserve">на терри-тории которого находят-ся здания общей пло-щадью более </w:t>
            </w:r>
            <w:r>
              <w:rPr>
                <w:sz w:val="22"/>
                <w:szCs w:val="22"/>
              </w:rPr>
              <w:br/>
              <w:t xml:space="preserve">1 000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  <w:br/>
              <w:t xml:space="preserve">и земель-ный </w:t>
            </w:r>
            <w:r>
              <w:rPr>
                <w:spacing w:val="-8"/>
                <w:sz w:val="22"/>
                <w:szCs w:val="22"/>
              </w:rPr>
              <w:t xml:space="preserve">участок более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50 000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49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94"/>
        <w:gridCol w:w="1844"/>
        <w:gridCol w:w="1843"/>
        <w:gridCol w:w="1418"/>
        <w:gridCol w:w="1275"/>
        <w:gridCol w:w="1418"/>
        <w:gridCol w:w="1276"/>
        <w:gridCol w:w="1275"/>
        <w:gridCol w:w="1276"/>
        <w:gridCol w:w="1131"/>
      </w:tblGrid>
      <w:tr>
        <w:tblPrEx/>
        <w:trPr>
          <w:tblHeader/>
        </w:trPr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Реализа-ция дополни-тельных образова-тельных прог-рамм спортив-ной подго-товки </w:t>
            </w:r>
            <w:r>
              <w:rPr>
                <w:sz w:val="22"/>
                <w:szCs w:val="22"/>
              </w:rPr>
              <w:br w:type="textWrapping" w:clear="all"/>
              <w:t xml:space="preserve">по 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баскет-бол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15307,18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63806,49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130217,11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бадмин-тон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17280,29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179533,41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58093,57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133125,31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180618,64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спор-тивная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179533,41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волей-бол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15178,01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54145,30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15292,62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50422,13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115785,73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  <w:t xml:space="preserve">на байдар-ках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16975,16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56092,24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16410,75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55521,65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120701,97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17280,29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атлети-ка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67 055,61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настоль-ный теннис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14002,57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48270,22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113259,51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19844,91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55481,87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127140,41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стрель-ба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58093,57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180017,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синхрон-ное 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22518,42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53784,21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86"/>
        </w:trPr>
        <w:tc>
          <w:tcPr>
            <w:tcBorders>
              <w:bottom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123250,11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36120,45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67055,61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153662,42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фехтова-ние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52279,94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133125,31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15280,85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92802,67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166229,20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20258,77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65870,27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150946,13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204797,16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худо-жествен-ная гимнас-тика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15115,43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53700,11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117622,97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158466,22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42"/>
        </w:trPr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Реализа-ция дополни-тельных образо-ватель-ных прог-рамм спортив-ной подго-товки </w:t>
            </w:r>
            <w:r>
              <w:rPr>
                <w:sz w:val="22"/>
                <w:szCs w:val="22"/>
              </w:rPr>
              <w:br w:type="textWrapping" w:clear="all"/>
              <w:t xml:space="preserve">по неолим-пийским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акробати-ческий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153662,42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42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153662,42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208 482,49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6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кикбок-синг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180017,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руко-пашный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14956,36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49434,05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акроба-тика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14586,49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48860,45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113865,39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155179,68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8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20258,77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танце-вальный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65870,27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совершенствова-ния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150946,13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204797,16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универ-сальный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14956,36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49434,05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/>
        <w:trPr>
          <w:trHeight w:val="537"/>
        </w:trPr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Наимено-вание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10000 кв. м без учета вида спорта,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здания более 10 000 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более 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спортивного инвентаря,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более 1 000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спорта и 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более 1 000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спорта 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33"/>
      </w:tblGrid>
      <w:tr>
        <w:tblPrEx/>
        <w:trPr>
          <w:tblHeader/>
        </w:trPr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образова-тельных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20381,62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17657,60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84958,79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73603,98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20483,88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70375,66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23172,74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17450,31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82665,31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конько-бежный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24781,94/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25227,90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21783,41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74539,46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65520,43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159844,41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213634,15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34271,48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129706,30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277706,44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379070,18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20123,42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16861,41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17433,91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72131,47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74580,53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249701,65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64041,20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101139,47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  <w:t xml:space="preserve">с трамп-лина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39866,66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0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100150,26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239049,99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  <w:t xml:space="preserve">на конь-ках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20289,97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20655,09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69155,22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154318,27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228922,26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2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69611,10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60106,77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20346,56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23329,75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9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141684,73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худо-жествен-ная гимнасти-ка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20126,30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71502,07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156615,81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образова-тельных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неолим-пийским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акробати-ческий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19422,02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65058,02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16521,76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53773,24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28284,00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67976,24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143237,51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рукопаш-ный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17195,48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56834,83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акробати-ка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16770,24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56175,34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спортив-ное ориенти-рование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23752,62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62129,82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144262,17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190089,72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70453,53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82237,05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61928,88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235893,23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298571,04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19914,50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65821,79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14.03.2025 № 155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спортивной подготовки по неолимпийским видам спорта»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 xml:space="preserve">отраслевых корректирующих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коэффициентов </w:t>
      </w: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2026 и 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34"/>
        <w:gridCol w:w="1276"/>
        <w:gridCol w:w="1276"/>
        <w:gridCol w:w="1559"/>
        <w:gridCol w:w="1559"/>
        <w:gridCol w:w="1559"/>
        <w:gridCol w:w="1418"/>
      </w:tblGrid>
      <w:tr>
        <w:tblPrEx/>
        <w:trPr>
          <w:trHeight w:val="537"/>
        </w:trPr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Наимено-вание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78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оборудова-ния, спортивно-го инвентаря, экипировки 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дорогосто-ящего оборудова-ния, спортивного инвентаря, экипировки </w:t>
            </w:r>
            <w:r>
              <w:rPr>
                <w:sz w:val="22"/>
                <w:szCs w:val="22"/>
              </w:rPr>
              <w:br w:type="textWrapping" w:clear="all"/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здания более </w:t>
            </w:r>
            <w:r>
              <w:rPr>
                <w:sz w:val="22"/>
                <w:szCs w:val="22"/>
              </w:rPr>
              <w:br w:type="textWrapping" w:clear="all"/>
              <w:t xml:space="preserve">10 000 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специфичес-ких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более 1 000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  <w:br/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более 50 000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34"/>
        <w:gridCol w:w="1276"/>
        <w:gridCol w:w="1276"/>
        <w:gridCol w:w="1559"/>
        <w:gridCol w:w="1559"/>
        <w:gridCol w:w="1559"/>
        <w:gridCol w:w="1408"/>
      </w:tblGrid>
      <w:tr>
        <w:tblPrEx/>
        <w:trPr>
          <w:tblHeader/>
        </w:trPr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образова-тельных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15547,59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64879,69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132749,91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бадмин-тон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17551,69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182900,41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59070,69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135714,68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184005,99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182900,41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15416,39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55056,00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15532,80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51270,21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118037,83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  <w:t xml:space="preserve">на бай-дарках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17241,77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57035,69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16668,49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56455,51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123049,71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17551,69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68183,46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настоль-ный теннис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14222,49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49082,11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115462,48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20156,59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56415,06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129613,38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59070,69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183393,46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синхрон-ное 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22872,08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54688,84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125647,41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36687,74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68183,46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156651,25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фехтова-ние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53159,27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135714,68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15520,85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94363,57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169462,47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20576,94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66978,19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153882,13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208637,96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художест-венная гимнасти-ка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15352,83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54603,33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119910,82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161438,12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9"/>
        </w:trPr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неолим-пийским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акробати-ческий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156 651,25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9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156 651,25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9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212392,41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9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кик-боксинг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183393,46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рукопаш-ный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15191,26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50265,52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акробати-ка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14815,58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49682,26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116080,14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3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158089,95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20576,94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танце-вальный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66978,19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153882,13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208637,96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универ-сальный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15191,26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50265,52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/>
        <w:trPr>
          <w:trHeight w:val="537"/>
        </w:trPr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10 000 кв. м без учета вида спорта,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здания более 10 000 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более 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спортивного инвентаря,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кв. м, 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8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0"/>
      </w:tblGrid>
      <w:tr>
        <w:tblPrEx/>
        <w:trPr>
          <w:tblHeader/>
        </w:trPr>
        <w:tc>
          <w:tcPr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образова-тельных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20701,73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17934,92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86387,77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74841,97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20805,59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71559,36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78180,46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179619,30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23536,68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17724,37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84055,72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конько-бежный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25171,16/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25624,12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22125,53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75793,19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66622,46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162953,49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217640,68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34809,73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131887,92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283108,01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386179,33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20439,47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17126,23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17707,72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73344,70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75834,95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254384,60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65047,01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102840,60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  <w:t xml:space="preserve">с трамп-лина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40492,79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101834,76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78180,46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7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179619,30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243533,17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  <w:t xml:space="preserve">на коньках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20608,63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20979,49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70318,39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157319,86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233215,51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70781,94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61321,87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61117,74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20666,12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23696,16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6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144067,82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гимнас-тика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20442,40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72704,71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159662,09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дополни-тельных образова-тельных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неолим-пийским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акробати-ческий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19727,05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66152,28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16781,24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54677,68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28728,22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69089,08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8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146023,57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рукопаш-ный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17465,55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57790,77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акробати-ка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17033,62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57120,19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спортив-ное ориенти-рование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24125,67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63174,82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147068,16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193654,70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спортив-ная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71638,53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83620,25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62970,51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240481,51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304170,50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20227,27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66928,89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14.03.2025 № 155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коэффициентов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10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418"/>
        <w:gridCol w:w="1842"/>
        <w:gridCol w:w="1418"/>
        <w:gridCol w:w="1276"/>
        <w:gridCol w:w="1275"/>
        <w:gridCol w:w="1276"/>
        <w:gridCol w:w="1276"/>
        <w:gridCol w:w="1276"/>
      </w:tblGrid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3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3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дорогостояще-го обору-дования, спортивного инвентаря, экипировки </w:t>
            </w:r>
            <w:r>
              <w:rPr>
                <w:sz w:val="22"/>
                <w:szCs w:val="22"/>
              </w:rPr>
              <w:br w:type="textWrapping" w:clear="all"/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здания более </w:t>
            </w:r>
            <w:r>
              <w:rPr>
                <w:sz w:val="22"/>
                <w:szCs w:val="22"/>
              </w:rPr>
              <w:br w:type="textWrapping" w:clear="all"/>
              <w:t xml:space="preserve">10 000 кв. м 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специфичес-ких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кв. м,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специфичес-ких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кв. м,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имуществен-ного комплекса специфичес-ких спортивных сооружений, включающих в свою структуру стадион, </w:t>
            </w:r>
            <w:r>
              <w:rPr>
                <w:sz w:val="22"/>
                <w:szCs w:val="22"/>
              </w:rPr>
              <w:br w:type="textWrapping" w:clear="all"/>
              <w:t xml:space="preserve">на терри-тории которого находятся здания общей площадью более </w:t>
            </w:r>
            <w:r>
              <w:rPr>
                <w:sz w:val="22"/>
                <w:szCs w:val="22"/>
              </w:rPr>
              <w:br w:type="textWrapping" w:clear="all"/>
              <w:t xml:space="preserve">1 000 кв. м, </w:t>
            </w:r>
            <w:r>
              <w:rPr>
                <w:sz w:val="22"/>
                <w:szCs w:val="22"/>
              </w:rPr>
              <w:br w:type="textWrapping" w:clear="all"/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более 50 000 кв. м,</w:t>
            </w:r>
            <w:r>
              <w:rPr>
                <w:sz w:val="22"/>
                <w:szCs w:val="22"/>
              </w:rPr>
              <w:t xml:space="preserve">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20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5315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18"/>
        <w:gridCol w:w="1417"/>
        <w:gridCol w:w="1848"/>
        <w:gridCol w:w="1417"/>
        <w:gridCol w:w="1271"/>
        <w:gridCol w:w="1281"/>
        <w:gridCol w:w="1276"/>
        <w:gridCol w:w="1275"/>
        <w:gridCol w:w="1276"/>
      </w:tblGrid>
      <w:tr>
        <w:tblPrEx/>
        <w:trPr>
          <w:tblHeader/>
        </w:trPr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дополнитель-ных образо-вательных программ спортивной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0,98828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1,26699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1,12835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1,18539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1,25255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0,97994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1,07515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0,98734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1,00122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1,00330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  <w:t xml:space="preserve">на бай-дарках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1,09597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1,11381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1,05953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1,04590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конько-бежный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1,22327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1,13161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1,05895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1,04315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7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1,98327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2,30852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2,15688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2,16999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0,97576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1,28380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1,38248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0,90405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0,95849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0,98141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3,59630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1,74679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1,28125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тренировоч-ный этап (этап спортивной специализа-ции)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  <w:t xml:space="preserve">с трамплина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2,30706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1,78248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1,45386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2,33205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  <w:t xml:space="preserve">на коньках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1,00154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1,04987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1,02234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1,11780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1,03811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0,98658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1,84276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1,44040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художест-венная гимнастика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0,97590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1,06631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1,01922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1,01207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дополнитель-ных образователь-ных программ спортивной подготовки</w:t>
            </w:r>
            <w:r>
              <w:rPr>
                <w:sz w:val="22"/>
                <w:szCs w:val="22"/>
              </w:rPr>
              <w:br w:type="textWrapping" w:clear="all"/>
              <w:t xml:space="preserve">по неолим-пийским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акробати-ческий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совершенство-вания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1,58303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1,16960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2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кикбоксинг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рукопаш-ный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0,98666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0,99108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ориенти-рование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1,37455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1,10579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1,12045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1,08817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1,06958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1,33884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танце-вальный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совершенст-вования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чир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универсаль-ный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учебно-тренировоч-ный этап (этап спортивной специализа-ции)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88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Caption Char"/>
    <w:basedOn w:val="733"/>
    <w:link w:val="792"/>
    <w:uiPriority w:val="35"/>
    <w:rPr>
      <w:b/>
      <w:bCs/>
      <w:color w:val="4f81bd" w:themeColor="accent1"/>
      <w:sz w:val="18"/>
      <w:szCs w:val="18"/>
    </w:rPr>
  </w:style>
  <w:style w:type="paragraph" w:styleId="723" w:default="1">
    <w:name w:val="Normal"/>
    <w:qFormat/>
    <w:rPr>
      <w:lang w:eastAsia="ru-RU"/>
    </w:rPr>
  </w:style>
  <w:style w:type="paragraph" w:styleId="724">
    <w:name w:val="Heading 1"/>
    <w:basedOn w:val="723"/>
    <w:next w:val="723"/>
    <w:link w:val="769"/>
    <w:qFormat/>
    <w:pPr>
      <w:ind w:right="-1" w:firstLine="709"/>
      <w:jc w:val="both"/>
      <w:keepNext/>
      <w:outlineLvl w:val="0"/>
    </w:pPr>
    <w:rPr>
      <w:sz w:val="24"/>
    </w:rPr>
  </w:style>
  <w:style w:type="paragraph" w:styleId="725">
    <w:name w:val="Heading 2"/>
    <w:basedOn w:val="723"/>
    <w:next w:val="723"/>
    <w:link w:val="770"/>
    <w:qFormat/>
    <w:pPr>
      <w:ind w:right="-1"/>
      <w:jc w:val="both"/>
      <w:keepNext/>
      <w:outlineLvl w:val="1"/>
    </w:pPr>
    <w:rPr>
      <w:sz w:val="24"/>
    </w:rPr>
  </w:style>
  <w:style w:type="paragraph" w:styleId="726">
    <w:name w:val="Heading 3"/>
    <w:basedOn w:val="723"/>
    <w:next w:val="723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table" w:styleId="736">
    <w:name w:val="Plain Table 1"/>
    <w:basedOn w:val="73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3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3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3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3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73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5 Dark"/>
    <w:basedOn w:val="73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73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>
    <w:name w:val="Grid Table 7 Colorful"/>
    <w:basedOn w:val="73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73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73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73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73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73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>
    <w:name w:val="List Table 6 Colorful"/>
    <w:basedOn w:val="73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4">
    <w:name w:val="List Table 7 Colorful"/>
    <w:basedOn w:val="73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5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33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33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Subtitle Char"/>
    <w:basedOn w:val="733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0">
    <w:name w:val="Title"/>
    <w:basedOn w:val="723"/>
    <w:next w:val="723"/>
    <w:link w:val="1026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81" w:customStyle="1">
    <w:name w:val="Title Char"/>
    <w:uiPriority w:val="10"/>
    <w:rPr>
      <w:sz w:val="48"/>
      <w:szCs w:val="48"/>
    </w:rPr>
  </w:style>
  <w:style w:type="paragraph" w:styleId="782">
    <w:name w:val="Subtitle"/>
    <w:basedOn w:val="723"/>
    <w:next w:val="723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23"/>
    <w:next w:val="723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23"/>
    <w:next w:val="723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23"/>
    <w:link w:val="943"/>
    <w:uiPriority w:val="99"/>
    <w:pPr>
      <w:tabs>
        <w:tab w:val="center" w:pos="4153" w:leader="none"/>
        <w:tab w:val="right" w:pos="8306" w:leader="none"/>
      </w:tabs>
    </w:pPr>
  </w:style>
  <w:style w:type="character" w:styleId="789" w:customStyle="1">
    <w:name w:val="Header Char"/>
    <w:uiPriority w:val="99"/>
  </w:style>
  <w:style w:type="paragraph" w:styleId="790">
    <w:name w:val="Footer"/>
    <w:basedOn w:val="723"/>
    <w:link w:val="1019"/>
    <w:uiPriority w:val="99"/>
    <w:pPr>
      <w:tabs>
        <w:tab w:val="center" w:pos="4153" w:leader="none"/>
        <w:tab w:val="right" w:pos="8306" w:leader="none"/>
      </w:tabs>
    </w:pPr>
  </w:style>
  <w:style w:type="character" w:styleId="791" w:customStyle="1">
    <w:name w:val="Footer Char"/>
    <w:uiPriority w:val="99"/>
  </w:style>
  <w:style w:type="paragraph" w:styleId="792">
    <w:name w:val="Caption"/>
    <w:basedOn w:val="723"/>
    <w:next w:val="723"/>
    <w:link w:val="79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3" w:customStyle="1">
    <w:name w:val="Название объекта Знак"/>
    <w:link w:val="792"/>
    <w:uiPriority w:val="99"/>
  </w:style>
  <w:style w:type="table" w:styleId="794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/>
      <w:u w:val="single"/>
    </w:rPr>
  </w:style>
  <w:style w:type="paragraph" w:styleId="921">
    <w:name w:val="footnote text"/>
    <w:basedOn w:val="723"/>
    <w:link w:val="922"/>
    <w:uiPriority w:val="99"/>
    <w:semiHidden/>
    <w:unhideWhenUsed/>
    <w:pPr>
      <w:spacing w:after="40"/>
    </w:pPr>
    <w:rPr>
      <w:sz w:val="18"/>
    </w:rPr>
  </w:style>
  <w:style w:type="character" w:styleId="922" w:customStyle="1">
    <w:name w:val="Текст сноски Знак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723"/>
    <w:link w:val="925"/>
    <w:uiPriority w:val="99"/>
    <w:semiHidden/>
    <w:unhideWhenUsed/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723"/>
    <w:next w:val="723"/>
    <w:uiPriority w:val="39"/>
    <w:unhideWhenUsed/>
    <w:pPr>
      <w:spacing w:after="57"/>
    </w:pPr>
  </w:style>
  <w:style w:type="paragraph" w:styleId="928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929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930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931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932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33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34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35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723"/>
    <w:next w:val="723"/>
    <w:uiPriority w:val="99"/>
    <w:unhideWhenUsed/>
  </w:style>
  <w:style w:type="paragraph" w:styleId="938">
    <w:name w:val="Body Text"/>
    <w:basedOn w:val="723"/>
    <w:link w:val="962"/>
    <w:pPr>
      <w:ind w:right="3117"/>
    </w:pPr>
    <w:rPr>
      <w:rFonts w:ascii="Courier New" w:hAnsi="Courier New"/>
      <w:sz w:val="26"/>
      <w:lang w:val="en-US" w:eastAsia="en-US"/>
    </w:rPr>
  </w:style>
  <w:style w:type="paragraph" w:styleId="939">
    <w:name w:val="Body Text Indent"/>
    <w:basedOn w:val="723"/>
    <w:pPr>
      <w:ind w:right="-1"/>
      <w:jc w:val="both"/>
    </w:pPr>
    <w:rPr>
      <w:sz w:val="26"/>
    </w:rPr>
  </w:style>
  <w:style w:type="character" w:styleId="940">
    <w:name w:val="page number"/>
    <w:basedOn w:val="733"/>
  </w:style>
  <w:style w:type="paragraph" w:styleId="941">
    <w:name w:val="Balloon Text"/>
    <w:basedOn w:val="723"/>
    <w:link w:val="942"/>
    <w:rPr>
      <w:rFonts w:ascii="Segoe UI" w:hAnsi="Segoe UI"/>
      <w:sz w:val="18"/>
      <w:szCs w:val="18"/>
      <w:lang w:val="en-US" w:eastAsia="en-US"/>
    </w:rPr>
  </w:style>
  <w:style w:type="character" w:styleId="942" w:customStyle="1">
    <w:name w:val="Текст выноски Знак"/>
    <w:link w:val="941"/>
    <w:rPr>
      <w:rFonts w:ascii="Segoe UI" w:hAnsi="Segoe UI" w:cs="Segoe UI"/>
      <w:sz w:val="18"/>
      <w:szCs w:val="18"/>
    </w:rPr>
  </w:style>
  <w:style w:type="character" w:styleId="943" w:customStyle="1">
    <w:name w:val="Верхний колонтитул Знак"/>
    <w:link w:val="788"/>
    <w:uiPriority w:val="99"/>
  </w:style>
  <w:style w:type="numbering" w:styleId="944" w:customStyle="1">
    <w:name w:val="Нет списка1"/>
    <w:next w:val="735"/>
    <w:uiPriority w:val="99"/>
    <w:semiHidden/>
    <w:unhideWhenUsed/>
  </w:style>
  <w:style w:type="character" w:styleId="945">
    <w:name w:val="FollowedHyperlink"/>
    <w:uiPriority w:val="99"/>
    <w:unhideWhenUsed/>
    <w:rPr>
      <w:color w:val="800080"/>
      <w:u w:val="single"/>
    </w:rPr>
  </w:style>
  <w:style w:type="paragraph" w:styleId="946" w:customStyle="1">
    <w:name w:val="xl65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6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7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6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0" w:customStyle="1">
    <w:name w:val="xl69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0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2" w:customStyle="1">
    <w:name w:val="xl71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2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3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4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5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7"/>
    <w:basedOn w:val="72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8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9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Форма"/>
    <w:rPr>
      <w:sz w:val="28"/>
      <w:szCs w:val="28"/>
      <w:lang w:eastAsia="ru-RU"/>
    </w:rPr>
  </w:style>
  <w:style w:type="character" w:styleId="962" w:customStyle="1">
    <w:name w:val="Основной текст Знак"/>
    <w:link w:val="938"/>
    <w:rPr>
      <w:rFonts w:ascii="Courier New" w:hAnsi="Courier New"/>
      <w:sz w:val="26"/>
    </w:rPr>
  </w:style>
  <w:style w:type="paragraph" w:styleId="963" w:customStyle="1">
    <w:name w:val="ConsPlusNormal"/>
    <w:rPr>
      <w:sz w:val="28"/>
      <w:szCs w:val="28"/>
      <w:lang w:eastAsia="ru-RU"/>
    </w:rPr>
  </w:style>
  <w:style w:type="numbering" w:styleId="964" w:customStyle="1">
    <w:name w:val="Нет списка11"/>
    <w:next w:val="735"/>
    <w:uiPriority w:val="99"/>
    <w:semiHidden/>
    <w:unhideWhenUsed/>
  </w:style>
  <w:style w:type="numbering" w:styleId="965" w:customStyle="1">
    <w:name w:val="Нет списка111"/>
    <w:next w:val="735"/>
    <w:uiPriority w:val="99"/>
    <w:semiHidden/>
    <w:unhideWhenUsed/>
  </w:style>
  <w:style w:type="paragraph" w:styleId="966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7" w:customStyle="1">
    <w:name w:val="xl8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1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2"/>
    <w:basedOn w:val="72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72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72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72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72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72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735"/>
    <w:uiPriority w:val="99"/>
    <w:semiHidden/>
    <w:unhideWhenUsed/>
  </w:style>
  <w:style w:type="numbering" w:styleId="1014" w:customStyle="1">
    <w:name w:val="Нет списка3"/>
    <w:next w:val="735"/>
    <w:uiPriority w:val="99"/>
    <w:semiHidden/>
    <w:unhideWhenUsed/>
  </w:style>
  <w:style w:type="paragraph" w:styleId="1015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735"/>
    <w:uiPriority w:val="99"/>
    <w:semiHidden/>
    <w:unhideWhenUsed/>
  </w:style>
  <w:style w:type="character" w:styleId="1019" w:customStyle="1">
    <w:name w:val="Нижний колонтитул Знак"/>
    <w:link w:val="790"/>
    <w:uiPriority w:val="99"/>
  </w:style>
  <w:style w:type="paragraph" w:styleId="1020" w:customStyle="1">
    <w:name w:val="Приложение"/>
    <w:basedOn w:val="93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1021" w:customStyle="1">
    <w:name w:val="Подпись на  бланке должностного лица"/>
    <w:basedOn w:val="723"/>
    <w:next w:val="938"/>
    <w:pPr>
      <w:ind w:left="7088"/>
      <w:spacing w:before="480" w:line="240" w:lineRule="exact"/>
    </w:pPr>
    <w:rPr>
      <w:sz w:val="24"/>
    </w:rPr>
  </w:style>
  <w:style w:type="paragraph" w:styleId="1022">
    <w:name w:val="Signature"/>
    <w:basedOn w:val="723"/>
    <w:next w:val="938"/>
    <w:link w:val="1023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23" w:customStyle="1">
    <w:name w:val="Подпись Знак"/>
    <w:link w:val="1022"/>
    <w:rPr>
      <w:sz w:val="24"/>
    </w:rPr>
  </w:style>
  <w:style w:type="paragraph" w:styleId="1024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1025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1026" w:customStyle="1">
    <w:name w:val="Название Знак"/>
    <w:link w:val="780"/>
    <w:rPr>
      <w:rFonts w:ascii="Cambria" w:hAnsi="Cambria"/>
      <w:b/>
      <w:bCs/>
      <w:sz w:val="32"/>
      <w:szCs w:val="32"/>
    </w:rPr>
  </w:style>
  <w:style w:type="character" w:styleId="1027">
    <w:name w:val="Emphasis"/>
    <w:qFormat/>
    <w:rPr>
      <w:i/>
      <w:iCs/>
    </w:rPr>
  </w:style>
  <w:style w:type="paragraph" w:styleId="1028">
    <w:name w:val="Normal (Web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9332&amp;dst=3601&amp;field=134&amp;date=01.10.2021" TargetMode="External"/><Relationship Id="rId13" Type="http://schemas.openxmlformats.org/officeDocument/2006/relationships/hyperlink" Target="https://login.consultant.ru/link/?req=doc&amp;base=RLAW368&amp;n=154126&amp;dst=76&amp;field=134&amp;date=01.10.2021" TargetMode="External"/><Relationship Id="rId14" Type="http://schemas.openxmlformats.org/officeDocument/2006/relationships/hyperlink" Target="https://login.consultant.ru/link/?req=doc&amp;base=RLAW368&amp;n=186377&amp;dst=100447&amp;field=134&amp;date=22.04.2024" TargetMode="External"/><Relationship Id="rId15" Type="http://schemas.openxmlformats.org/officeDocument/2006/relationships/hyperlink" Target="https://login.consultant.ru/link/?req=doc&amp;base=RLAW368&amp;n=186377&amp;dst=101726&amp;field=134&amp;date=22.04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16</cp:revision>
  <dcterms:created xsi:type="dcterms:W3CDTF">2025-02-28T10:29:00Z</dcterms:created>
  <dcterms:modified xsi:type="dcterms:W3CDTF">2025-03-14T08:48:35Z</dcterms:modified>
  <cp:version>983040</cp:version>
</cp:coreProperties>
</file>