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28"/>
        <w:ind w:right="0"/>
        <w:rPr>
          <w:rFonts w:ascii="Times New Roman" w:hAnsi="Times New Roman"/>
          <w:sz w:val="24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-545465</wp:posOffset>
                </wp:positionV>
                <wp:extent cx="6285865" cy="1611725"/>
                <wp:effectExtent l="0" t="0" r="0" b="0"/>
                <wp:wrapNone/>
                <wp:docPr id="1" name="Группа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4" cy="1611724"/>
                          <a:chOff x="0" y="0"/>
                          <a:chExt cx="6285864" cy="1611724"/>
                        </a:xfrm>
                      </wpg:grpSpPr>
                      <wps:wsp>
                        <wps:cNvPr id="0" name=""/>
                        <wps:cNvSpPr txBox="1">
                          <a:spLocks noChangeArrowheads="1"/>
                        </wps:cNvSpPr>
                        <wps:spPr bwMode="auto">
                          <a:xfrm flipH="0" flipV="0">
                            <a:off x="0" y="0"/>
                            <a:ext cx="6285864" cy="16117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  <a:miter/>
                          </a:ln>
                        </wps:spPr>
                        <wps:txbx>
                          <w:txbxContent>
                            <w:p>
                              <w:pPr>
                                <w:pStyle w:val="935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12115" cy="508635"/>
                                        <wp:effectExtent l="0" t="0" r="6985" b="5715"/>
                                        <wp:docPr id="2" name="Рисунок 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/>
                                                </pic:cNvPicPr>
                                                <pic:nvPr/>
                                              </pic:nvPicPr>
                                              <pic:blipFill>
                                                <a:blip r:embed="rId12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12115" cy="50863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0" o:spid="_x0000_s0" type="#_x0000_t75" style="width:32.45pt;height:40.05pt;mso-wrap-distance-left:0.00pt;mso-wrap-distance-top:0.00pt;mso-wrap-distance-right:0.00pt;mso-wrap-distance-bottom:0.00pt;" stroked="f">
                                        <v:path textboxrect="0,0,0,0"/>
                                        <v:imagedata r:id="rId12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27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" name=""/>
                        <wps:cNvSpPr txBox="1">
                          <a:spLocks noChangeArrowheads="1"/>
                        </wps:cNvSpPr>
                        <wps:spPr bwMode="auto">
                          <a:xfrm flipH="0" flipV="0">
                            <a:off x="258444" y="1278349"/>
                            <a:ext cx="1536064" cy="333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17.03.2025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"/>
                        <wps:cNvSpPr txBox="1">
                          <a:spLocks noChangeArrowheads="1"/>
                        </wps:cNvSpPr>
                        <wps:spPr bwMode="auto">
                          <a:xfrm flipH="0" flipV="0">
                            <a:off x="4940299" y="1278349"/>
                            <a:ext cx="1085850" cy="33337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161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" o:spid="_x0000_s0000" style="position:absolute;z-index:251659264;o:allowoverlap:true;o:allowincell:true;mso-position-horizontal-relative:text;margin-left:0.45pt;mso-position-horizontal:absolute;mso-position-vertical-relative:text;margin-top:-42.95pt;mso-position-vertical:absolute;width:494.95pt;height:126.91pt;mso-wrap-distance-left:9.00pt;mso-wrap-distance-top:0.00pt;mso-wrap-distance-right:9.00pt;mso-wrap-distance-bottom:0.00pt;" coordorigin="0,0" coordsize="62858,16117">
                <v:shape id="shape 2" o:spid="_x0000_s2" o:spt="202" type="#_x0000_t202" style="position:absolute;left:0;top:0;width:62858;height:16117;v-text-anchor:top;visibility:visible;" fillcolor="#FFFFFF" stroked="f">
                  <v:textbox inset="0,0,0,0">
                    <w:txbxContent>
                      <w:p>
                        <w:pPr>
                          <w:pStyle w:val="935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12115" cy="508635"/>
                                  <wp:effectExtent l="0" t="0" r="6985" b="5715"/>
                                  <wp:docPr id="2" name="Рисунок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/>
                                          </pic:cNvPicPr>
                                          <pic:nvPr/>
                                        </pic:nvPicPr>
                                        <pic:blipFill>
                                          <a:blip r:embed="rId1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2115" cy="5086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0" o:spid="_x0000_s0" type="#_x0000_t75" style="width:32.45pt;height:40.05pt;mso-wrap-distance-left:0.00pt;mso-wrap-distance-top:0.00pt;mso-wrap-distance-right:0.00pt;mso-wrap-distance-bottom:0.00pt;" stroked="f">
                                  <v:path textboxrect="0,0,0,0"/>
                                  <v:imagedata r:id="rId12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27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</w:txbxContent>
                  </v:textbox>
                </v:shape>
                <v:shape id="shape 3" o:spid="_x0000_s3" o:spt="202" type="#_x0000_t202" style="position:absolute;left:2584;top:12783;width:15360;height:3333;v-text-anchor:top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17.03.2025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  <v:shape id="shape 4" o:spid="_x0000_s4" o:spt="202" type="#_x0000_t202" style="position:absolute;left:49402;top:12783;width:10858;height:3333;v-text-anchor:top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161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-547370</wp:posOffset>
                </wp:positionV>
                <wp:extent cx="407035" cy="495300"/>
                <wp:effectExtent l="0" t="0" r="0" b="0"/>
                <wp:wrapNone/>
                <wp:docPr id="3" name="Рисуно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position:absolute;z-index:251660288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rFonts w:ascii="Times New Roman" w:hAnsi="Times New Roman"/>
          <w:sz w:val="24"/>
        </w:rPr>
        <w:t xml:space="preserve">9</w:t>
      </w:r>
      <w:r>
        <w:rPr>
          <w:rFonts w:ascii="Times New Roman" w:hAnsi="Times New Roman"/>
          <w:sz w:val="24"/>
        </w:rPr>
      </w:r>
    </w:p>
    <w:p>
      <w:pPr>
        <w:pStyle w:val="928"/>
        <w:ind w:righ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28"/>
        <w:ind w:righ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9"/>
        <w:spacing w:line="240" w:lineRule="exact"/>
      </w:pPr>
      <w:r/>
      <w:r/>
    </w:p>
    <w:p>
      <w:pPr>
        <w:pStyle w:val="939"/>
        <w:spacing w:line="240" w:lineRule="exact"/>
      </w:pPr>
      <w:r/>
      <w:r/>
    </w:p>
    <w:p>
      <w:pPr>
        <w:pStyle w:val="939"/>
        <w:spacing w:line="240" w:lineRule="exact"/>
      </w:pPr>
      <w:r/>
      <w:r/>
    </w:p>
    <w:p>
      <w:pPr>
        <w:pStyle w:val="939"/>
        <w:ind w:right="5237"/>
        <w:spacing w:line="240" w:lineRule="exact"/>
        <w:rPr>
          <w:b/>
        </w:rPr>
      </w:pPr>
      <w:r>
        <w:rPr>
          <w:b/>
        </w:rPr>
        <w:t xml:space="preserve">О внесении изменений </w:t>
      </w:r>
      <w:r>
        <w:rPr>
          <w:b/>
        </w:rPr>
        <w:br/>
        <w:t xml:space="preserve">в муниципальную программу «Культура и молодежная </w:t>
      </w:r>
      <w:r>
        <w:rPr>
          <w:b/>
        </w:rPr>
      </w:r>
    </w:p>
    <w:p>
      <w:pPr>
        <w:pStyle w:val="939"/>
        <w:ind w:right="5237"/>
        <w:spacing w:line="240" w:lineRule="exact"/>
        <w:rPr>
          <w:b/>
          <w:bCs/>
        </w:rPr>
      </w:pPr>
      <w:r>
        <w:rPr>
          <w:b/>
        </w:rPr>
        <w:t xml:space="preserve">политика города Перми», </w:t>
      </w:r>
      <w:r>
        <w:rPr>
          <w:b/>
          <w:bCs/>
        </w:rPr>
      </w:r>
    </w:p>
    <w:p>
      <w:pPr>
        <w:pStyle w:val="939"/>
        <w:ind w:right="5237"/>
        <w:spacing w:line="240" w:lineRule="exact"/>
        <w:rPr>
          <w:b/>
          <w:bCs/>
        </w:rPr>
      </w:pPr>
      <w:r>
        <w:rPr>
          <w:b/>
        </w:rPr>
        <w:t xml:space="preserve">утвержденную постановлением </w:t>
      </w:r>
      <w:r>
        <w:rPr>
          <w:b/>
          <w:bCs/>
        </w:rPr>
      </w:r>
    </w:p>
    <w:p>
      <w:pPr>
        <w:pStyle w:val="939"/>
        <w:ind w:right="5237"/>
        <w:spacing w:line="240" w:lineRule="exact"/>
        <w:rPr>
          <w:b/>
          <w:bCs/>
        </w:rPr>
      </w:pPr>
      <w:r>
        <w:rPr>
          <w:b/>
        </w:rPr>
        <w:t xml:space="preserve">администрации города Перми </w:t>
      </w:r>
      <w:r>
        <w:rPr>
          <w:b/>
        </w:rPr>
        <w:br/>
        <w:t xml:space="preserve">от 17.10.2024 № 955</w:t>
      </w:r>
      <w:r>
        <w:t xml:space="preserve"> </w:t>
      </w:r>
      <w:r>
        <w:rPr>
          <w:b/>
          <w:bCs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5"/>
        <w:ind w:firstLine="709"/>
      </w:pPr>
      <w:r>
        <w:t xml:space="preserve">В соответствии с Бюджетным кодексом Российской Федерации, Федеральным законом от 06 октября 2003 г. № 131-ФЗ «Об общих принципах организации местного самоуправления в Российской Федерации», Уставом города Перми, </w:t>
      </w:r>
      <w:r>
        <w:br/>
        <w:t xml:space="preserve">постановлением администрации города Перми от 02 сентября 2024 г. № 715 </w:t>
      </w:r>
      <w:r>
        <w:br/>
        <w:t xml:space="preserve">«Об утверждении Порядка разработки, реализации и оценки эффективности муниципальных программ города Перми» </w:t>
      </w:r>
      <w:r/>
    </w:p>
    <w:p>
      <w:pPr>
        <w:jc w:val="both"/>
        <w:rPr>
          <w:sz w:val="28"/>
        </w:rPr>
      </w:pPr>
      <w:r>
        <w:rPr>
          <w:sz w:val="28"/>
        </w:rPr>
        <w:t xml:space="preserve">администрация города Перми ПОСТАНОВЛЯЕТ: </w:t>
      </w:r>
      <w:r>
        <w:rPr>
          <w:sz w:val="28"/>
        </w:rPr>
      </w:r>
    </w:p>
    <w:p>
      <w:pPr>
        <w:pStyle w:val="969"/>
      </w:pPr>
      <w:r>
        <w:t xml:space="preserve">1. Утвердить прилагаемые изменения в муниципальную программу «Культура и молодежная политика города Перми», утвержденную постановлением администрации города Перми от 17 октября 2024 г. № 955 (в ред. от 28.12.2024 </w:t>
      </w:r>
      <w:r>
        <w:br/>
      </w:r>
      <w:r>
        <w:t xml:space="preserve">№ 1327). </w:t>
      </w:r>
      <w:r/>
    </w:p>
    <w:p>
      <w:pPr>
        <w:pStyle w:val="969"/>
      </w:pPr>
      <w:r>
        <w:t xml:space="preserve">2. 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/>
    </w:p>
    <w:p>
      <w:pPr>
        <w:pStyle w:val="969"/>
      </w:pPr>
      <w:r>
        <w:t xml:space="preserve">3. Управлению по общим вопр</w:t>
      </w:r>
      <w: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www.gorodperm.ru».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5. Контроль за исполнением</w:t>
      </w:r>
      <w:r>
        <w:rPr>
          <w:sz w:val="28"/>
        </w:rPr>
        <w:t xml:space="preserve"> настоящего постановления возложить </w:t>
      </w:r>
      <w:r>
        <w:rPr>
          <w:sz w:val="28"/>
        </w:rPr>
        <w:br/>
        <w:t xml:space="preserve">на заместителя главы администрации города Перми Мальцеву Е.Д.</w:t>
      </w:r>
      <w:r>
        <w:rPr>
          <w:sz w:val="28"/>
        </w:rPr>
      </w:r>
    </w:p>
    <w:p>
      <w:pPr>
        <w:pStyle w:val="928"/>
        <w:contextualSpacing/>
        <w:ind w:right="0" w:firstLine="709"/>
        <w:jc w:val="both"/>
        <w:tabs>
          <w:tab w:val="left" w:pos="8222" w:leader="none"/>
          <w:tab w:val="right" w:pos="9915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28"/>
        <w:contextualSpacing/>
        <w:ind w:right="0" w:firstLine="709"/>
        <w:jc w:val="both"/>
        <w:tabs>
          <w:tab w:val="left" w:pos="8222" w:leader="none"/>
          <w:tab w:val="right" w:pos="9915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28"/>
        <w:contextualSpacing/>
        <w:ind w:right="0" w:firstLine="709"/>
        <w:jc w:val="both"/>
        <w:tabs>
          <w:tab w:val="left" w:pos="8222" w:leader="none"/>
          <w:tab w:val="right" w:pos="9915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28"/>
        <w:contextualSpacing/>
        <w:ind w:right="0"/>
        <w:jc w:val="both"/>
        <w:spacing w:line="240" w:lineRule="exact"/>
        <w:tabs>
          <w:tab w:val="left" w:pos="8222" w:leader="none"/>
          <w:tab w:val="right" w:pos="9915" w:leader="none"/>
        </w:tabs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города Перми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Э.О. Соснин</w:t>
      </w:r>
      <w:r>
        <w:rPr>
          <w:sz w:val="28"/>
          <w:szCs w:val="28"/>
        </w:rPr>
      </w:r>
    </w:p>
    <w:p>
      <w:pPr>
        <w:rPr>
          <w:sz w:val="28"/>
          <w:szCs w:val="28"/>
        </w:rPr>
        <w:sectPr>
          <w:headerReference w:type="default" r:id="rId9"/>
          <w:headerReference w:type="even" r:id="rId10"/>
          <w:footnotePr/>
          <w:endnotePr/>
          <w:type w:val="nextPage"/>
          <w:pgSz w:w="11900" w:h="16820" w:orient="portrait"/>
          <w:pgMar w:top="1134" w:right="567" w:bottom="1134" w:left="1418" w:header="363" w:footer="720" w:gutter="0"/>
          <w:cols w:num="1" w:sep="0" w:space="60" w:equalWidth="1"/>
          <w:docGrid w:linePitch="360"/>
          <w:titlePg/>
        </w:sect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9639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УТВЕРЖДЕНЫ </w:t>
      </w:r>
      <w:r>
        <w:rPr>
          <w:rFonts w:eastAsia="Calibri"/>
          <w:sz w:val="28"/>
          <w:szCs w:val="28"/>
        </w:rPr>
      </w:r>
    </w:p>
    <w:p>
      <w:pPr>
        <w:ind w:left="9639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постановлением администрации </w:t>
      </w:r>
      <w:r>
        <w:rPr>
          <w:rFonts w:eastAsia="Calibri"/>
          <w:sz w:val="28"/>
          <w:szCs w:val="28"/>
        </w:rPr>
      </w:r>
    </w:p>
    <w:p>
      <w:pPr>
        <w:ind w:left="9639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города Перми </w:t>
      </w:r>
      <w:r>
        <w:rPr>
          <w:rFonts w:eastAsia="Calibri"/>
          <w:sz w:val="28"/>
          <w:szCs w:val="28"/>
        </w:rPr>
      </w:r>
    </w:p>
    <w:p>
      <w:pPr>
        <w:ind w:left="9639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от 17.03.2025 № 161</w:t>
      </w:r>
      <w:r>
        <w:rPr>
          <w:sz w:val="28"/>
          <w:szCs w:val="28"/>
        </w:rPr>
      </w:r>
    </w:p>
    <w:p>
      <w:pPr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spacing w:line="240" w:lineRule="exact"/>
        <w:rPr>
          <w:b/>
          <w:sz w:val="28"/>
          <w:szCs w:val="28"/>
        </w:rPr>
        <w:outlineLvl w:val="1"/>
      </w:pPr>
      <w:r>
        <w:rPr>
          <w:b/>
          <w:sz w:val="28"/>
          <w:szCs w:val="28"/>
        </w:rPr>
        <w:t xml:space="preserve">ИЗМЕНЕНИЯ </w:t>
      </w:r>
      <w:r>
        <w:rPr>
          <w:b/>
          <w:sz w:val="28"/>
          <w:szCs w:val="28"/>
        </w:rPr>
      </w:r>
    </w:p>
    <w:p>
      <w:pPr>
        <w:pStyle w:val="969"/>
        <w:jc w:val="center"/>
        <w:spacing w:line="240" w:lineRule="exact"/>
        <w:rPr>
          <w:b/>
        </w:rPr>
      </w:pPr>
      <w:r>
        <w:rPr>
          <w:b/>
        </w:rPr>
        <w:t xml:space="preserve">в муниципальную программу «Культура и молодежная политика города Перми», </w:t>
      </w:r>
      <w:r>
        <w:rPr>
          <w:b/>
        </w:rPr>
      </w:r>
    </w:p>
    <w:p>
      <w:pPr>
        <w:pStyle w:val="969"/>
        <w:jc w:val="center"/>
        <w:spacing w:line="240" w:lineRule="exact"/>
        <w:rPr>
          <w:b/>
        </w:rPr>
      </w:pPr>
      <w:r>
        <w:rPr>
          <w:b/>
        </w:rPr>
        <w:t xml:space="preserve">утвержденную постановлением администрации города Перми от 17 октября 2024 г. № 955 </w:t>
      </w:r>
      <w:r>
        <w:rPr>
          <w:b/>
        </w:rPr>
      </w:r>
    </w:p>
    <w:p>
      <w:pPr>
        <w:pStyle w:val="969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</w:p>
    <w:p>
      <w:pPr>
        <w:pStyle w:val="969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</w:p>
    <w:p>
      <w:pPr>
        <w:pStyle w:val="969"/>
      </w:pPr>
      <w:r>
        <w:rPr>
          <w:bCs/>
        </w:rPr>
        <w:t xml:space="preserve">1. </w:t>
      </w:r>
      <w:r>
        <w:t xml:space="preserve">В разделе «Паспорт муниципальной программы «Культура и молодежная политика города Перми» строки «</w:t>
      </w:r>
      <w:r>
        <w:rPr>
          <w:color w:val="000000"/>
        </w:rPr>
        <w:t xml:space="preserve">Целевые показатели программы»,</w:t>
      </w:r>
      <w:r>
        <w:t xml:space="preserve"> «Объемы и источники финансового обеспечения программы» изложить в следующей редакции:</w:t>
      </w:r>
      <w:r/>
    </w:p>
    <w:tbl>
      <w:tblPr>
        <w:tblW w:w="15026" w:type="dxa"/>
        <w:tblInd w:w="-5" w:type="dxa"/>
        <w:tblLook w:val="04A0" w:firstRow="1" w:lastRow="0" w:firstColumn="1" w:lastColumn="0" w:noHBand="0" w:noVBand="1"/>
      </w:tblPr>
      <w:tblGrid>
        <w:gridCol w:w="1701"/>
        <w:gridCol w:w="445"/>
        <w:gridCol w:w="3524"/>
        <w:gridCol w:w="1560"/>
        <w:gridCol w:w="1506"/>
        <w:gridCol w:w="1612"/>
        <w:gridCol w:w="1559"/>
        <w:gridCol w:w="1480"/>
        <w:gridCol w:w="1639"/>
      </w:tblGrid>
      <w:tr>
        <w:tblPrEx/>
        <w:trPr>
          <w:trHeight w:val="315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Целевые показатели программы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Наименование целевого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показателя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  <w:br/>
              <w:t xml:space="preserve">изм.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796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Значения целевых показателей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63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9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Доля жителей города Перми, удовлетворенных качеством организации досуга, от общей численности опрошенных жителей города Перми, воспользовавшихся услугами в сфере культуры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%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не менее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89,6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не менее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89,6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4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посещений мероприятий в сфере культуры и искусства, проводимых на территории города Перми при поддержке администрации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pStyle w:val="959"/>
              <w:rPr>
                <w:szCs w:val="24"/>
                <w:lang w:eastAsia="en-US"/>
              </w:rPr>
            </w:pPr>
            <w:r>
              <w:t xml:space="preserve">10740346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pStyle w:val="959"/>
              <w:rPr>
                <w:szCs w:val="24"/>
                <w:lang w:eastAsia="en-US"/>
              </w:rPr>
            </w:pPr>
            <w:r>
              <w:t xml:space="preserve">11201516</w:t>
            </w:r>
            <w:r>
              <w:rPr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959"/>
              <w:rPr>
                <w:szCs w:val="24"/>
                <w:lang w:eastAsia="en-US"/>
              </w:rPr>
            </w:pPr>
            <w:r>
              <w:t xml:space="preserve">11498496</w:t>
            </w:r>
            <w:r>
              <w:rPr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11645946</w:t>
            </w:r>
            <w:r>
              <w:rPr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11748633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3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Увеличение числа посещений культурных мероприятий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по сравнению с показателем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2019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%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208,7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217,7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223,4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226,3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228,3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28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Доля молодежи, вовлеченной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в общественную жизнь города Перми, от общей численности молодежи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%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50,6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51,6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52,4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52,5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52,2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27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посещений мероприятий в сфере молодежной политики, проводимых на территории города Перми при поддержке администрации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134242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134242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134842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135142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135512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701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Объемы и источники финансового обеспечения программы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обеспечения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356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315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pStyle w:val="963"/>
            </w:pPr>
            <w:r/>
            <w:r/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63"/>
            </w:pPr>
            <w:r>
              <w:t xml:space="preserve">Всего, в том числе: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3 110 659,7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2 736 417,7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2 836 782,8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2 483 085,8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2 491 685,8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13 658 631,8</w:t>
            </w:r>
            <w:r/>
          </w:p>
        </w:tc>
      </w:tr>
      <w:tr>
        <w:tblPrEx/>
        <w:trPr>
          <w:trHeight w:val="315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pStyle w:val="963"/>
            </w:pPr>
            <w:r/>
            <w:r/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63"/>
            </w:pPr>
            <w:r>
              <w:t xml:space="preserve">бюджет города Перми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3 087 514,4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2 713 260,5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2 820 125,6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2 483 085,8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2 491 685,8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13 595 672,1</w:t>
            </w:r>
            <w:r/>
          </w:p>
        </w:tc>
      </w:tr>
      <w:tr>
        <w:tblPrEx/>
        <w:trPr>
          <w:trHeight w:val="315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pStyle w:val="963"/>
            </w:pPr>
            <w:r/>
            <w:r/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63"/>
            </w:pPr>
            <w:r>
              <w:t xml:space="preserve">бюджет Пермского края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18 279,2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23 157,2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16 657,2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58 093,6</w:t>
            </w:r>
            <w:r/>
          </w:p>
        </w:tc>
      </w:tr>
      <w:tr>
        <w:tblPrEx/>
        <w:trPr>
          <w:trHeight w:val="315"/>
        </w:trPr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pStyle w:val="963"/>
            </w:pPr>
            <w:r/>
            <w:r/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63"/>
            </w:pPr>
            <w:r>
              <w:t xml:space="preserve">федеральный бюджет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4 866,1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06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12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39" w:type="dxa"/>
            <w:textDirection w:val="lrTb"/>
            <w:noWrap w:val="false"/>
          </w:tcPr>
          <w:p>
            <w:pPr>
              <w:pStyle w:val="963"/>
              <w:jc w:val="center"/>
            </w:pPr>
            <w:r>
              <w:t xml:space="preserve">4 866,1</w:t>
            </w:r>
            <w:r/>
          </w:p>
        </w:tc>
      </w:tr>
    </w:tbl>
    <w:p>
      <w:pPr>
        <w:pStyle w:val="963"/>
      </w:pPr>
      <w:r/>
      <w:r/>
    </w:p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69"/>
      </w:pPr>
      <w:r>
        <w:t xml:space="preserve">2. Раздел «Паспорт муниципального проекта 1 «Капитальные вложения в объекты недвижимого имущества муниципальной собственности в сфере культуры и молодежной политики» изложить в следующей редакции: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ПАСПОРТ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муниципального проекта 1 «Капитальные вложения в объекты недвижимого имущества муниципальной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собственности в сфере культуры и молодежной политики» </w:t>
      </w:r>
      <w:r>
        <w:rPr>
          <w:b/>
          <w:bCs/>
        </w:rPr>
      </w:r>
    </w:p>
    <w:p>
      <w:pPr>
        <w:pStyle w:val="969"/>
      </w:pPr>
      <w:r/>
      <w:r/>
    </w:p>
    <w:tbl>
      <w:tblPr>
        <w:tblW w:w="15028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701"/>
        <w:gridCol w:w="445"/>
        <w:gridCol w:w="3524"/>
        <w:gridCol w:w="709"/>
        <w:gridCol w:w="1506"/>
        <w:gridCol w:w="1471"/>
        <w:gridCol w:w="1559"/>
        <w:gridCol w:w="1703"/>
        <w:gridCol w:w="1134"/>
        <w:gridCol w:w="1276"/>
      </w:tblGrid>
      <w:tr>
        <w:tblPrEx/>
        <w:trPr>
          <w:trHeight w:val="6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7" w:type="dxa"/>
              <w:top w:w="12" w:type="dxa"/>
              <w:right w:w="7" w:type="dxa"/>
              <w:bottom w:w="12" w:type="dxa"/>
            </w:tcMar>
            <w:tcW w:w="1701" w:type="dxa"/>
            <w:textDirection w:val="lrTb"/>
            <w:noWrap w:val="false"/>
          </w:tcPr>
          <w:p>
            <w:pPr>
              <w:ind w:left="57"/>
              <w:spacing w:line="256" w:lineRule="auto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en-US"/>
              </w:rPr>
              <w:t xml:space="preserve">Руководитель муниципального проекта</w:t>
            </w:r>
            <w:r>
              <w:rPr>
                <w:sz w:val="24"/>
                <w:szCs w:val="24"/>
                <w:lang w:eastAsia="zh-CN"/>
              </w:rPr>
            </w:r>
          </w:p>
        </w:tc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7" w:type="dxa"/>
              <w:top w:w="12" w:type="dxa"/>
              <w:right w:w="7" w:type="dxa"/>
              <w:bottom w:w="12" w:type="dxa"/>
            </w:tcMar>
            <w:tcW w:w="13327" w:type="dxa"/>
            <w:textDirection w:val="lrTb"/>
            <w:noWrap w:val="false"/>
          </w:tcPr>
          <w:p>
            <w:pPr>
              <w:pStyle w:val="974"/>
              <w:ind w:left="57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Синев Алексей Васильевич, заместитель главы администрации города Перми;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974"/>
              <w:ind w:left="57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Галиханов Дмитрий Кадирович, заместитель главы администрации города Перми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67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7" w:type="dxa"/>
              <w:top w:w="12" w:type="dxa"/>
              <w:right w:w="7" w:type="dxa"/>
              <w:bottom w:w="12" w:type="dxa"/>
            </w:tcMar>
            <w:tcW w:w="1701" w:type="dxa"/>
            <w:textDirection w:val="lrTb"/>
            <w:noWrap w:val="false"/>
          </w:tcPr>
          <w:p>
            <w:pPr>
              <w:ind w:left="57"/>
              <w:spacing w:line="256" w:lineRule="auto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en-US"/>
              </w:rPr>
              <w:t xml:space="preserve">Ответственный исполнитель муниципального проекта</w:t>
            </w:r>
            <w:r>
              <w:rPr>
                <w:sz w:val="24"/>
                <w:szCs w:val="24"/>
                <w:lang w:eastAsia="zh-CN"/>
              </w:rPr>
            </w:r>
          </w:p>
        </w:tc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7" w:type="dxa"/>
              <w:top w:w="12" w:type="dxa"/>
              <w:right w:w="7" w:type="dxa"/>
              <w:bottom w:w="12" w:type="dxa"/>
            </w:tcMar>
            <w:tcW w:w="13327" w:type="dxa"/>
            <w:textDirection w:val="lrTb"/>
            <w:noWrap w:val="false"/>
          </w:tcPr>
          <w:p>
            <w:pPr>
              <w:ind w:left="57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zh-CN"/>
              </w:rPr>
              <w:t xml:space="preserve">Хаткевич Александр Александрович, начальник департамента имущественных отношений администрации города Перми;</w:t>
            </w:r>
            <w:r>
              <w:rPr>
                <w:sz w:val="24"/>
                <w:szCs w:val="24"/>
              </w:rPr>
            </w:r>
          </w:p>
          <w:p>
            <w:pPr>
              <w:ind w:left="57"/>
              <w:spacing w:line="288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Попова Оксана Валерьевна, и.о. начальника управления капитального строительства администрации города Перми</w:t>
            </w:r>
            <w:r>
              <w:rPr>
                <w:sz w:val="24"/>
                <w:szCs w:val="24"/>
              </w:rPr>
            </w:r>
          </w:p>
          <w:p>
            <w:pPr>
              <w:ind w:left="57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zh-CN"/>
              </w:rPr>
              <w:t xml:space="preserve"> </w:t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37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7" w:type="dxa"/>
              <w:top w:w="12" w:type="dxa"/>
              <w:right w:w="7" w:type="dxa"/>
              <w:bottom w:w="12" w:type="dxa"/>
            </w:tcMar>
            <w:tcW w:w="1701" w:type="dxa"/>
            <w:textDirection w:val="lrTb"/>
            <w:noWrap w:val="false"/>
          </w:tcPr>
          <w:p>
            <w:pPr>
              <w:ind w:left="57"/>
              <w:spacing w:line="256" w:lineRule="auto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Администратор муниципального проекта</w:t>
            </w:r>
            <w:r>
              <w:rPr>
                <w:sz w:val="24"/>
                <w:szCs w:val="24"/>
                <w:lang w:eastAsia="zh-CN"/>
              </w:rPr>
            </w:r>
          </w:p>
        </w:tc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7" w:type="dxa"/>
              <w:top w:w="12" w:type="dxa"/>
              <w:right w:w="7" w:type="dxa"/>
              <w:bottom w:w="12" w:type="dxa"/>
            </w:tcMar>
            <w:tcW w:w="13327" w:type="dxa"/>
            <w:textDirection w:val="lrTb"/>
            <w:noWrap w:val="false"/>
          </w:tcPr>
          <w:p>
            <w:pPr>
              <w:ind w:left="57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zh-CN"/>
              </w:rPr>
              <w:t xml:space="preserve">Хаткевич Александр Александрович, начальник департамента имущественных отношений администрации города Перми;</w:t>
            </w:r>
            <w:r>
              <w:rPr>
                <w:sz w:val="24"/>
                <w:szCs w:val="24"/>
              </w:rPr>
            </w:r>
          </w:p>
          <w:p>
            <w:pPr>
              <w:ind w:left="57"/>
              <w:spacing w:line="288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Попова Оксана Валерьевна, и.о. начальника управления капитального строительства администрации города Перми</w:t>
            </w:r>
            <w:r>
              <w:rPr>
                <w:sz w:val="24"/>
                <w:szCs w:val="24"/>
              </w:rPr>
            </w:r>
          </w:p>
          <w:p>
            <w:pPr>
              <w:ind w:left="57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1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Показатели муниципального проекта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4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524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Наименование показателя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09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  <w:br/>
              <w:t xml:space="preserve">изм.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649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Значения </w:t>
            </w:r>
            <w:bookmarkStart w:id="0" w:name="_GoBack"/>
            <w:r/>
            <w:bookmarkEnd w:id="0"/>
            <w:r>
              <w:rPr>
                <w:color w:val="000000"/>
                <w:sz w:val="24"/>
                <w:szCs w:val="24"/>
                <w:lang w:eastAsia="en-US"/>
              </w:rPr>
              <w:t xml:space="preserve">показателей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630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24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06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71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3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0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41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5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приобретенных в собственность муниципального образования город Пермь нежилых зданий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0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71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3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0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left="57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Объемы 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ind w:left="57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 источники финансового обеспечения муниципального проекта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обеспечения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649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6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0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71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9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3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78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0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336952,0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71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0,0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0,0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3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0,0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0,0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336952,0</w:t>
            </w:r>
            <w:r>
              <w:rPr>
                <w:sz w:val="24"/>
                <w:szCs w:val="24"/>
                <w:lang w:eastAsia="en-US"/>
              </w:rPr>
            </w:r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3. Раздел «Паспорт комплекса процессных мероприятий 1 «Городские культурно-зрелищные мероприятия» изложить в следующей редакции:</w:t>
      </w:r>
      <w:r/>
    </w:p>
    <w:p>
      <w:pPr>
        <w:pStyle w:val="969"/>
        <w:ind w:firstLine="0"/>
      </w:pPr>
      <w:r/>
      <w:r/>
    </w:p>
    <w:p>
      <w:pPr>
        <w:pStyle w:val="969"/>
        <w:ind w:firstLine="0"/>
        <w:jc w:val="center"/>
        <w:spacing w:line="243" w:lineRule="exact"/>
        <w:rPr>
          <w:b/>
          <w:bCs/>
        </w:rPr>
      </w:pPr>
      <w:r>
        <w:rPr>
          <w:b/>
          <w:bCs/>
        </w:rPr>
        <w:t xml:space="preserve">«ПАСПОРТ</w:t>
      </w:r>
      <w:r>
        <w:rPr>
          <w:b/>
          <w:bCs/>
        </w:rPr>
      </w:r>
    </w:p>
    <w:p>
      <w:pPr>
        <w:pStyle w:val="969"/>
        <w:ind w:firstLine="0"/>
        <w:jc w:val="center"/>
        <w:spacing w:line="243" w:lineRule="exact"/>
        <w:rPr>
          <w:b/>
          <w:bCs/>
        </w:rPr>
      </w:pPr>
      <w:r>
        <w:rPr>
          <w:b/>
          <w:bCs/>
        </w:rPr>
        <w:t xml:space="preserve">комплекса процессных мероприятий 1 «Городские культурно-зрелищные мероприятия» </w:t>
      </w:r>
      <w:r>
        <w:rPr>
          <w:b/>
          <w:bCs/>
        </w:rPr>
      </w:r>
    </w:p>
    <w:p>
      <w:pPr>
        <w:pStyle w:val="969"/>
        <w:ind w:firstLine="0"/>
      </w:pPr>
      <w:r/>
      <w:r/>
    </w:p>
    <w:tbl>
      <w:tblPr>
        <w:tblW w:w="4963" w:type="pct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1706"/>
        <w:gridCol w:w="504"/>
        <w:gridCol w:w="3797"/>
        <w:gridCol w:w="1273"/>
        <w:gridCol w:w="1450"/>
        <w:gridCol w:w="1325"/>
        <w:gridCol w:w="1606"/>
        <w:gridCol w:w="1453"/>
        <w:gridCol w:w="1639"/>
      </w:tblGrid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4" w:type="dxa"/>
              <w:top w:w="6" w:type="dxa"/>
              <w:right w:w="4" w:type="dxa"/>
              <w:bottom w:w="6" w:type="dxa"/>
            </w:tcMar>
            <w:tcW w:w="1705" w:type="dxa"/>
            <w:textDirection w:val="lrTb"/>
            <w:noWrap w:val="false"/>
          </w:tcPr>
          <w:p>
            <w:pPr>
              <w:pStyle w:val="963"/>
              <w:ind w:left="57"/>
              <w:jc w:val="left"/>
            </w:pPr>
            <w:r>
              <w:t xml:space="preserve">Ответственный </w:t>
            </w:r>
            <w:r>
              <w:t xml:space="preserve">исполнитель</w:t>
            </w:r>
            <w:r/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4" w:type="dxa"/>
              <w:top w:w="6" w:type="dxa"/>
              <w:right w:w="4" w:type="dxa"/>
              <w:bottom w:w="6" w:type="dxa"/>
            </w:tcMar>
            <w:tcW w:w="13038" w:type="dxa"/>
            <w:textDirection w:val="lrTb"/>
            <w:noWrap w:val="false"/>
          </w:tcPr>
          <w:p>
            <w:pPr>
              <w:pStyle w:val="963"/>
              <w:ind w:left="57"/>
            </w:pPr>
            <w:r>
              <w:t xml:space="preserve">Хорошева Анастасия Владимировна, </w:t>
            </w:r>
            <w:r/>
          </w:p>
          <w:p>
            <w:pPr>
              <w:pStyle w:val="963"/>
              <w:ind w:left="57"/>
            </w:pPr>
            <w:r>
              <w:t xml:space="preserve">начальник департамента культуры и молодежной политики администрации города Перми</w:t>
            </w:r>
            <w:r/>
          </w:p>
        </w:tc>
      </w:tr>
      <w:tr>
        <w:tblPrEx/>
        <w:trPr>
          <w:trHeight w:val="315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5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Показатели комплекса процессных мероприятий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4" w:type="dxa"/>
            <w:vMerge w:val="restart"/>
            <w:textDirection w:val="lrTb"/>
            <w:noWrap w:val="false"/>
          </w:tcPr>
          <w:p>
            <w:pPr>
              <w:ind w:left="57"/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794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Наименование показателя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  <w:br/>
              <w:t xml:space="preserve">изм.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68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Значения показателей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7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4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94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2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794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посещений культурно-зрелищных мероприятий на территории города Перми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7975255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8436425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8733405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8880855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8983542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794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проведенных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532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516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512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506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504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05" w:type="dxa"/>
            <w:vAlign w:val="center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Объемы и источники финансового обеспечения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298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обеспечения программы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740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7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98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298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Всего, в том числе: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405 333,8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327 958,5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353 530,1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243 876,9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242 476,9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1 573 176,2   </w:t>
            </w:r>
            <w:r>
              <w:rPr>
                <w:szCs w:val="24"/>
                <w:lang w:eastAsia="en-US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298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388 676,6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304 801,3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336 872,9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243 876,9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242 476,9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1 516 704,6   </w:t>
            </w:r>
            <w:r>
              <w:rPr>
                <w:szCs w:val="24"/>
                <w:lang w:eastAsia="en-US"/>
              </w:rPr>
            </w:r>
          </w:p>
        </w:tc>
      </w:tr>
      <w:tr>
        <w:tblPrEx/>
        <w:trPr>
          <w:trHeight w:val="12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705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298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Пермского края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2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16 657,2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49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23 157,2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24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16 657,2   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05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52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38" w:type="dxa"/>
            <w:textDirection w:val="lrTb"/>
            <w:noWrap w:val="false"/>
          </w:tcPr>
          <w:p>
            <w:pPr>
              <w:pStyle w:val="959"/>
              <w:spacing w:line="256" w:lineRule="auto"/>
              <w:rPr>
                <w:szCs w:val="24"/>
                <w:lang w:eastAsia="en-US"/>
              </w:rPr>
            </w:pPr>
            <w:r>
              <w:t xml:space="preserve"> 56 471,6   </w:t>
            </w:r>
            <w:r>
              <w:rPr>
                <w:szCs w:val="24"/>
                <w:lang w:eastAsia="en-US"/>
              </w:rPr>
            </w:r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4. Раздел «Паспорт комплекса процессных мероприятий 2 «Создание условий для осуществления гражданами прав </w:t>
      </w:r>
      <w:r>
        <w:br/>
        <w:t xml:space="preserve">в сфере культуры» изложить в следующей редакции: 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ПАСПОРТ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комплекса процессных мероприятий 2 «Создание условий для осуществления гражданами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прав в сфере культуры»</w:t>
      </w:r>
      <w:r>
        <w:rPr>
          <w:b/>
          <w:bCs/>
        </w:rPr>
      </w:r>
    </w:p>
    <w:p>
      <w:pPr>
        <w:pStyle w:val="969"/>
      </w:pPr>
      <w:r/>
      <w:r/>
    </w:p>
    <w:tbl>
      <w:tblPr>
        <w:tblW w:w="15100" w:type="dxa"/>
        <w:jc w:val="center"/>
        <w:tblLook w:val="04A0" w:firstRow="1" w:lastRow="0" w:firstColumn="1" w:lastColumn="0" w:noHBand="0" w:noVBand="1"/>
      </w:tblPr>
      <w:tblGrid>
        <w:gridCol w:w="1797"/>
        <w:gridCol w:w="796"/>
        <w:gridCol w:w="4100"/>
        <w:gridCol w:w="1497"/>
        <w:gridCol w:w="1536"/>
        <w:gridCol w:w="1279"/>
        <w:gridCol w:w="1339"/>
        <w:gridCol w:w="1477"/>
        <w:gridCol w:w="1279"/>
      </w:tblGrid>
      <w:tr>
        <w:tblPrEx/>
        <w:trPr>
          <w:jc w:val="center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Ответственный исполнитель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40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Хорошева Анастасия Владимировна, </w:t>
            </w:r>
            <w:r>
              <w:rPr>
                <w:color w:val="000000"/>
                <w:sz w:val="24"/>
                <w:szCs w:val="24"/>
              </w:rPr>
              <w:br/>
              <w:t xml:space="preserve">начальник департамента культуры и молодежной политики администрации города Перми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  <w:trHeight w:val="485"/>
        </w:trPr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Merge w:val="restar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Показатели комплекса процессных мероприятий</w:t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 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№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Наименование показателя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  <w:br/>
              <w:t xml:space="preserve">изм.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2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Значения показателей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54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4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jc w:val="center"/>
          <w:trHeight w:val="14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спектаклей муниципальных театров и концертных программ муниципальных учреждений концертного типа в рамках исполнения муниципального задания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  <w:trHeight w:val="102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Численность участников клубных формирований, посещающих муниципальные клубные формирования бесплатно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  <w:trHeight w:val="107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культурно-досуговых и культурно-просветительских мероприятий, выставок, публичных лекций в муниципальных учреждениях, подведомственных ДКМП 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textDirection w:val="lrTb"/>
            <w:noWrap w:val="false"/>
          </w:tcPr>
          <w:p>
            <w:pPr>
              <w:pStyle w:val="959"/>
              <w:jc w:val="left"/>
            </w:pPr>
            <w:r>
              <w:t xml:space="preserve">Количество посещений муниципальных библиотек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</w:pPr>
            <w:r>
              <w:t xml:space="preserve">ед.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</w:pPr>
            <w:r>
              <w:t xml:space="preserve">1610580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1610580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</w:pPr>
            <w:r>
              <w:t xml:space="preserve">1610580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</w:pPr>
            <w:r>
              <w:t xml:space="preserve">1610580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1610580</w:t>
            </w:r>
            <w:r/>
          </w:p>
        </w:tc>
      </w:tr>
      <w:tr>
        <w:tblPrEx/>
        <w:trPr>
          <w:jc w:val="center"/>
          <w:trHeight w:val="686"/>
        </w:trPr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textDirection w:val="lrTb"/>
            <w:noWrap w:val="false"/>
          </w:tcPr>
          <w:p>
            <w:pPr>
              <w:pStyle w:val="959"/>
              <w:jc w:val="left"/>
            </w:pPr>
            <w:r>
              <w:t xml:space="preserve">Количество ОКН и ОМИ, охваченных мероприятиями по сохранению и использованию, находящихся на текущем содержании МАУК «ГЦОП»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</w:pPr>
            <w:r>
              <w:t xml:space="preserve">ед.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</w:pPr>
            <w:r>
              <w:t xml:space="preserve">278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278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</w:pPr>
            <w:r>
              <w:t xml:space="preserve">278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</w:pPr>
            <w:r>
              <w:t xml:space="preserve">278</w:t>
            </w:r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278</w:t>
            </w:r>
            <w:r/>
          </w:p>
        </w:tc>
      </w:tr>
      <w:tr>
        <w:tblPrEx/>
        <w:trPr>
          <w:jc w:val="center"/>
          <w:trHeight w:val="706"/>
        </w:trPr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0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20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усовершенствованных детских и кукольных театров путем создания новых постановок и (или) улучшения технического оснащения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0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  <w:trHeight w:val="437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Merge w:val="restar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Объемы и источники финансового обеспечения комплекса процессных мероприятий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Источники финансового обеспечения </w:t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программы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6"/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42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  <w:trHeight w:val="40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4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4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Итого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0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Всего, в том числе: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</w:pPr>
            <w:r>
              <w:t xml:space="preserve">1041006,4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</w:pPr>
            <w:r>
              <w:t xml:space="preserve">1017111,3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1027153,5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</w:pPr>
            <w:r>
              <w:t xml:space="preserve">1027153,5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</w:pPr>
            <w:r>
              <w:t xml:space="preserve">1037153,5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5149578,2</w:t>
            </w:r>
            <w:r/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0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</w:pPr>
            <w:r>
              <w:t xml:space="preserve">1034518,3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</w:pPr>
            <w:r>
              <w:t xml:space="preserve">1017111,3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1027153,5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</w:pPr>
            <w:r>
              <w:t xml:space="preserve">1027153,5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</w:pPr>
            <w:r>
              <w:t xml:space="preserve">1037153,5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5143090,1</w:t>
            </w:r>
            <w:r/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0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бюджет Пермского края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</w:pPr>
            <w:r>
              <w:t xml:space="preserve">1622,0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1622,0</w:t>
            </w:r>
            <w:r/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0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федеральный бюджет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</w:pPr>
            <w:r>
              <w:t xml:space="preserve">4866,1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</w:pPr>
            <w:r>
              <w:t xml:space="preserve">0,0</w:t>
            </w:r>
            <w:r/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</w:pPr>
            <w:r>
              <w:t xml:space="preserve">4866,1</w:t>
            </w:r>
            <w:r/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5. Раздел «Паспорт комплекса процессных мероприятий 3 «Обеспечение качественно нового уровня развития инфраструктуры» изложить в следующей редакции: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ПАСПОРТ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комплекса процессных мероприятий 3 «Обеспечение качественно нового уровня развития инфраструктуры» </w:t>
      </w:r>
      <w:r>
        <w:rPr>
          <w:b/>
          <w:bCs/>
        </w:rPr>
      </w:r>
    </w:p>
    <w:p>
      <w:pPr>
        <w:pStyle w:val="969"/>
      </w:pPr>
      <w:r/>
      <w:r/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797"/>
        <w:gridCol w:w="460"/>
        <w:gridCol w:w="3959"/>
        <w:gridCol w:w="1325"/>
        <w:gridCol w:w="1470"/>
        <w:gridCol w:w="1618"/>
        <w:gridCol w:w="1471"/>
        <w:gridCol w:w="1326"/>
        <w:gridCol w:w="1643"/>
      </w:tblGrid>
      <w:tr>
        <w:tblPrEx/>
        <w:trPr>
          <w:trHeight w:val="254"/>
        </w:trPr>
        <w:tc>
          <w:tcPr>
            <w:tcW w:w="587" w:type="pc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Ответственный исполнитель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8"/>
            <w:tcW w:w="4413" w:type="pc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Хорошева Анастасия Владимировна,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начальник департамента культуры и молодежной политики администрации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shd w:val="clear" w:color="auto" w:fill="ffffff"/>
            <w:tcW w:w="1797" w:type="dxa"/>
            <w:vMerge w:val="restar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Показатели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W w:w="154" w:type="pct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1315" w:type="pct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Наименование показателя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41" w:type="pct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  <w:br/>
              <w:t xml:space="preserve">изм.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5"/>
            <w:tcW w:w="2503" w:type="pc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Значения показателей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23"/>
        </w:trPr>
        <w:tc>
          <w:tcPr>
            <w:tcW w:w="587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154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1315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41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89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538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89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41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546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35"/>
        </w:trPr>
        <w:tc>
          <w:tcPr>
            <w:tcW w:w="587" w:type="pct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ffffff"/>
            <w:tcW w:w="154" w:type="pc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W w:w="1315" w:type="pc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имущественных комплексов учреждений, в которых проводятся работы по выполнению нормативных требований, устранению предписаний надзорных органов и улучшению материально-технического обеспечения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W w:w="441" w:type="pc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W w:w="489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21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auto"/>
            <w:tcW w:w="538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26</w:t>
            </w:r>
            <w:r>
              <w:rPr>
                <w:sz w:val="24"/>
                <w:szCs w:val="24"/>
                <w:lang w:val="en-US" w:eastAsia="en-US"/>
              </w:rPr>
            </w:r>
          </w:p>
        </w:tc>
        <w:tc>
          <w:tcPr>
            <w:shd w:val="clear" w:color="auto" w:fill="auto"/>
            <w:tcW w:w="489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18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W w:w="441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W w:w="546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6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W w:w="587" w:type="pct"/>
            <w:vMerge w:val="restar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Объемы и источники финансового обеспечения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W w:w="1469" w:type="pct"/>
            <w:vMerge w:val="restart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обеспечения программы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2944" w:type="pc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W w:w="587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W w:w="1469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41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89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538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89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41" w:type="pct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546" w:type="pc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W w:w="587" w:type="pct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W w:w="1469" w:type="pct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W w:w="441" w:type="pct"/>
            <w:vAlign w:val="center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319995,8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W w:w="489" w:type="pct"/>
            <w:vAlign w:val="center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377104,7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W w:w="538" w:type="pct"/>
            <w:vAlign w:val="center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441856,0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W w:w="489" w:type="pct"/>
            <w:vAlign w:val="center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230266,8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W w:w="441" w:type="pct"/>
            <w:vAlign w:val="center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230266,8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W w:w="546" w:type="pct"/>
            <w:vAlign w:val="center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1599490,1</w:t>
            </w:r>
            <w:r>
              <w:rPr>
                <w:color w:val="000000"/>
                <w:szCs w:val="24"/>
                <w:lang w:eastAsia="en-US"/>
              </w:rPr>
            </w:r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6. В разделе «Паспорт комплекса процессных мероприятий 4 «Одаренные дети города Перми» строку «Объемы и источники финансового обеспечения </w:t>
      </w:r>
      <w:r>
        <w:rPr>
          <w:color w:val="000000"/>
        </w:rPr>
        <w:t xml:space="preserve">комплекса процессных мероприятий</w:t>
      </w:r>
      <w:r>
        <w:t xml:space="preserve">» изложить в следующей редакции:</w:t>
      </w:r>
      <w:r/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769"/>
        <w:gridCol w:w="4575"/>
        <w:gridCol w:w="1326"/>
        <w:gridCol w:w="1329"/>
        <w:gridCol w:w="1621"/>
        <w:gridCol w:w="1477"/>
        <w:gridCol w:w="1329"/>
        <w:gridCol w:w="1643"/>
      </w:tblGrid>
      <w:tr>
        <w:tblPrEx/>
        <w:trPr>
          <w:trHeight w:val="471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7" w:type="pct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Объемы и ис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точники финансового обеспечения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18" w:type="pct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обеспечения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программы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5" w:type="pc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08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0" w:type="pct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" w:type="pct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8" w:type="pct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90" w:type="pct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" w:type="pct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5" w:type="pc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4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18" w:type="pct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0" w:type="pct"/>
            <w:vAlign w:val="center"/>
            <w:textDirection w:val="lrTb"/>
            <w:noWrap w:val="false"/>
          </w:tcPr>
          <w:p>
            <w:pPr>
              <w:pStyle w:val="959"/>
              <w:spacing w:line="256" w:lineRule="auto"/>
              <w:rPr>
                <w:color w:val="000000"/>
                <w:szCs w:val="24"/>
                <w:lang w:eastAsia="en-US"/>
              </w:rPr>
            </w:pPr>
            <w:r>
              <w:t xml:space="preserve">765958,3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" w:type="pct"/>
            <w:vAlign w:val="center"/>
            <w:textDirection w:val="lrTb"/>
            <w:noWrap w:val="false"/>
          </w:tcPr>
          <w:p>
            <w:pPr>
              <w:pStyle w:val="959"/>
              <w:spacing w:line="256" w:lineRule="auto"/>
              <w:rPr>
                <w:color w:val="000000"/>
                <w:szCs w:val="24"/>
                <w:lang w:eastAsia="en-US"/>
              </w:rPr>
            </w:pPr>
            <w:r>
              <w:t xml:space="preserve">765819,6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8" w:type="pct"/>
            <w:vAlign w:val="center"/>
            <w:textDirection w:val="lrTb"/>
            <w:noWrap w:val="false"/>
          </w:tcPr>
          <w:p>
            <w:pPr>
              <w:pStyle w:val="959"/>
              <w:spacing w:line="256" w:lineRule="auto"/>
              <w:rPr>
                <w:color w:val="000000"/>
                <w:szCs w:val="24"/>
                <w:lang w:eastAsia="en-US"/>
              </w:rPr>
            </w:pPr>
            <w:r>
              <w:t xml:space="preserve">765819,6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90" w:type="pct"/>
            <w:vAlign w:val="center"/>
            <w:textDirection w:val="lrTb"/>
            <w:noWrap w:val="false"/>
          </w:tcPr>
          <w:p>
            <w:pPr>
              <w:pStyle w:val="959"/>
              <w:spacing w:line="256" w:lineRule="auto"/>
              <w:rPr>
                <w:color w:val="000000"/>
                <w:szCs w:val="24"/>
                <w:lang w:eastAsia="en-US"/>
              </w:rPr>
            </w:pPr>
            <w:r>
              <w:t xml:space="preserve">755955,4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" w:type="pct"/>
            <w:vAlign w:val="center"/>
            <w:textDirection w:val="lrTb"/>
            <w:noWrap w:val="false"/>
          </w:tcPr>
          <w:p>
            <w:pPr>
              <w:pStyle w:val="959"/>
              <w:spacing w:line="256" w:lineRule="auto"/>
              <w:rPr>
                <w:color w:val="000000"/>
                <w:szCs w:val="24"/>
                <w:lang w:eastAsia="en-US"/>
              </w:rPr>
            </w:pPr>
            <w:r>
              <w:t xml:space="preserve">755955,4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5" w:type="pct"/>
            <w:vAlign w:val="center"/>
            <w:textDirection w:val="lrTb"/>
            <w:noWrap w:val="false"/>
          </w:tcPr>
          <w:p>
            <w:pPr>
              <w:pStyle w:val="959"/>
              <w:spacing w:line="256" w:lineRule="auto"/>
              <w:rPr>
                <w:color w:val="000000"/>
                <w:szCs w:val="24"/>
                <w:lang w:eastAsia="en-US"/>
              </w:rPr>
            </w:pPr>
            <w:r>
              <w:t xml:space="preserve">3809508,3</w:t>
            </w:r>
            <w:r>
              <w:rPr>
                <w:color w:val="000000"/>
                <w:szCs w:val="24"/>
                <w:lang w:eastAsia="en-US"/>
              </w:rPr>
            </w:r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7. Раздел «Паспорт комплекса процессных мероприятий 5 «Создание условий для эффективной самореализации молодежи города Перми» изложить в следующей редакции: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ПАСПОРТ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комплекса процессных мероприятий 5 «Создание условий для эффективной самореализации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молодежи города Перми»</w:t>
      </w:r>
      <w:r>
        <w:rPr>
          <w:b/>
          <w:bCs/>
        </w:rPr>
      </w:r>
    </w:p>
    <w:p>
      <w:pPr>
        <w:pStyle w:val="969"/>
      </w:pPr>
      <w:r/>
      <w:r/>
    </w:p>
    <w:tbl>
      <w:tblPr>
        <w:tblW w:w="14692" w:type="dxa"/>
        <w:tblInd w:w="-5" w:type="dxa"/>
        <w:tblLook w:val="04A0" w:firstRow="1" w:lastRow="0" w:firstColumn="1" w:lastColumn="0" w:noHBand="0" w:noVBand="1"/>
      </w:tblPr>
      <w:tblGrid>
        <w:gridCol w:w="2268"/>
        <w:gridCol w:w="445"/>
        <w:gridCol w:w="4041"/>
        <w:gridCol w:w="1276"/>
        <w:gridCol w:w="1275"/>
        <w:gridCol w:w="1276"/>
        <w:gridCol w:w="1276"/>
        <w:gridCol w:w="1276"/>
        <w:gridCol w:w="1559"/>
      </w:tblGrid>
      <w:tr>
        <w:tblPrEx/>
        <w:trPr>
          <w:trHeight w:val="62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Ответственный исполнитель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8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42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Хорошева Анастасия Владимировна,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начальник департамента культуры и молодежной политики администрации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8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Показатели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41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Наименование показателя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  <w:lang w:eastAsia="en-US"/>
              </w:rPr>
              <w:br/>
              <w:t xml:space="preserve">изм.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662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Значения показателей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63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0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41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Численность молодежи, вовлеченной в мероприятия по формированию системы развития талантливой и инициативной молодежи, развития творческого, профессионального, интеллектуального потенциалов молодежи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чел.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43302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43102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43302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43402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43542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41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41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Численность молодежи, вовлеченной в мероприятия, </w:t>
            </w:r>
            <w:r>
              <w:rPr>
                <w:sz w:val="24"/>
                <w:szCs w:val="24"/>
                <w:lang w:eastAsia="en-US"/>
              </w:rPr>
              <w:t xml:space="preserve">направленные на вовлечение молодежи в инновационную, предпринимательскую и добровольческую деятельность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чел.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54190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54290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54490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54590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54690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97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41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Численность молодежи, вовлеченной в мероприятия по гражданскому и патриотическому воспитанию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чел.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31180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31280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31480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31580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31710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11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5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4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41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Численность молодежи в возрасте от 14 до 25 лет, вовлеченной в мероприятия по организации занятости молодежи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чел.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5570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5570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5570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5570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5570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32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8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Объемы и источники финансового обеспечения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86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обеспечения программы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8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1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86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74259,1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73218,0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73218,0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73218,0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73218,0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367131,1</w:t>
            </w:r>
            <w:r>
              <w:rPr>
                <w:color w:val="000000"/>
                <w:szCs w:val="24"/>
                <w:lang w:eastAsia="en-US"/>
              </w:rPr>
            </w:r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8. Раздел «Паспорт комплекса процессных мероприятий 6 «Обеспечение деятельности департамента культуры и молодежной политики администрации города Перми» изложить в следующей редакции: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ПАСПОРТ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комплекса процессных мероприятий 6 «Обеспечение деятельности департамента культуры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и молодежной политики администрации города Перми»</w:t>
      </w:r>
      <w:r>
        <w:rPr>
          <w:b/>
          <w:bCs/>
        </w:rPr>
      </w:r>
    </w:p>
    <w:p>
      <w:pPr>
        <w:pStyle w:val="969"/>
      </w:pPr>
      <w:r/>
      <w:r/>
    </w:p>
    <w:tbl>
      <w:tblPr>
        <w:tblW w:w="147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694"/>
        <w:gridCol w:w="3422"/>
        <w:gridCol w:w="1500"/>
        <w:gridCol w:w="1540"/>
        <w:gridCol w:w="1280"/>
        <w:gridCol w:w="1340"/>
        <w:gridCol w:w="1480"/>
        <w:gridCol w:w="148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4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Ответственный исполнитель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7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50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Хорошева Анастасия Владимировна,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начальник департамента культуры и молодежной политики администрации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335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4" w:type="dxa"/>
            <w:vMerge w:val="restart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Объемы и источники финансового обеспечения комплекса процессных мероприятий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422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Источники финансового 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обеспечения программы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gridSpan w:val="6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628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(тыс. руб.)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69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4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422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00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2025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2026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2027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40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2028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80" w:type="dxa"/>
            <w:vAlign w:val="center"/>
            <w:textDirection w:val="lrTb"/>
            <w:noWrap w:val="false"/>
          </w:tcPr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2029 год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center"/>
              <w:spacing w:line="254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(план)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88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Итого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4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422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бюджет города Перми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00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167154,3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40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175205,6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175205,6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40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152615,2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80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152615,2</w:t>
            </w:r>
            <w:r>
              <w:rPr>
                <w:color w:val="000000"/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88" w:type="dxa"/>
            <w:textDirection w:val="lrTb"/>
            <w:noWrap w:val="false"/>
          </w:tcPr>
          <w:p>
            <w:pPr>
              <w:pStyle w:val="959"/>
              <w:rPr>
                <w:color w:val="000000"/>
                <w:szCs w:val="24"/>
                <w:lang w:eastAsia="en-US"/>
              </w:rPr>
            </w:pPr>
            <w:r>
              <w:t xml:space="preserve">822795,9</w:t>
            </w:r>
            <w:r>
              <w:rPr>
                <w:color w:val="000000"/>
                <w:szCs w:val="24"/>
                <w:lang w:eastAsia="en-US"/>
              </w:rPr>
            </w:r>
          </w:p>
        </w:tc>
      </w:tr>
    </w:tbl>
    <w:p>
      <w:pPr>
        <w:ind w:firstLine="709"/>
        <w:jc w:val="both"/>
        <w:rPr>
          <w:sz w:val="28"/>
          <w:szCs w:val="28"/>
        </w:rPr>
        <w:outlineLvl w:val="1"/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  <w:outlineLvl w:val="1"/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  <w:outlineLvl w:val="1"/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  <w:outlineLvl w:val="1"/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  <w:outlineLvl w:val="1"/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9"/>
      </w:pPr>
      <w:r>
        <w:t xml:space="preserve">9. Раздел «Перечень целевых показателей программы, показателей структурных элементов муниципальной программы «Культура и молодежная политика города Перми» изложить в следующей редакции: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ПЕРЕЧЕНЬ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целевых показателей программы, показателей структурных элементов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муниципальной программы «Культура и молодежная политика города Перми» </w:t>
      </w:r>
      <w:r>
        <w:rPr>
          <w:b/>
          <w:bCs/>
        </w:rPr>
      </w:r>
    </w:p>
    <w:p>
      <w:pPr>
        <w:pStyle w:val="969"/>
        <w:jc w:val="center"/>
        <w:spacing w:line="238" w:lineRule="exact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</w:p>
    <w:tbl>
      <w:tblPr>
        <w:tblW w:w="1474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6110"/>
        <w:gridCol w:w="992"/>
        <w:gridCol w:w="1417"/>
        <w:gridCol w:w="1134"/>
        <w:gridCol w:w="1134"/>
        <w:gridCol w:w="1134"/>
        <w:gridCol w:w="1134"/>
        <w:gridCol w:w="1133"/>
      </w:tblGrid>
      <w:tr>
        <w:tblPrEx/>
        <w:trPr>
          <w:trHeight w:val="29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56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110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Наименование целевого показателя программы, показателей структурных элементов программы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Единица измерения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ФО (ФП)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69" w:type="dxa"/>
            <w:vMerge w:val="restart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Значения показателей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73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56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110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2025 год</w:t>
            </w:r>
            <w:r>
              <w:rPr>
                <w:sz w:val="24"/>
                <w:szCs w:val="24"/>
              </w:rPr>
            </w:r>
          </w:p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2026 год</w:t>
            </w:r>
            <w:r>
              <w:rPr>
                <w:sz w:val="24"/>
                <w:szCs w:val="24"/>
              </w:rPr>
            </w:r>
          </w:p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2027 год</w:t>
            </w:r>
            <w:r>
              <w:rPr>
                <w:sz w:val="24"/>
                <w:szCs w:val="24"/>
              </w:rPr>
            </w:r>
          </w:p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2028 год</w:t>
            </w:r>
            <w:r>
              <w:rPr>
                <w:sz w:val="24"/>
                <w:szCs w:val="24"/>
              </w:rPr>
            </w:r>
          </w:p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2029 год</w:t>
            </w:r>
            <w:r>
              <w:rPr>
                <w:sz w:val="24"/>
                <w:szCs w:val="24"/>
              </w:rPr>
            </w:r>
          </w:p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(прогноз)</w:t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969"/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</w:p>
    <w:tbl>
      <w:tblPr>
        <w:tblW w:w="1474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53"/>
        <w:gridCol w:w="6113"/>
        <w:gridCol w:w="992"/>
        <w:gridCol w:w="1417"/>
        <w:gridCol w:w="1134"/>
        <w:gridCol w:w="1134"/>
        <w:gridCol w:w="1134"/>
        <w:gridCol w:w="1134"/>
        <w:gridCol w:w="1133"/>
      </w:tblGrid>
      <w:tr>
        <w:tblPrEx/>
        <w:trPr>
          <w:trHeight w:val="300"/>
          <w:tblHeader/>
        </w:trPr>
        <w:tc>
          <w:tcPr>
            <w:shd w:val="clear" w:color="auto" w:fill="auto"/>
            <w:tcW w:w="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611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Муниципальная программа «Культура и молодежная политика города Перми»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850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Доля жителей города Перми, удовлетворенных качеством организации досуга, от общей численности опрошенных жителей города Перми, воспользовавшихся услугами в сфере культуры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%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департамент культуры и молодежной политики администрации города Перми (далее – ДКМП)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менее 89,6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569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мероприятий в сфере культуры и искусства, проводимых на территории города Перми при поддержке администрации города Перми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10740346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11201516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11498496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11645946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11748633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407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Увеличение числа посещений культурных мероприятий по сравнению с показателем 2019 года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%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208,7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217,7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223,4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226,3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228,3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56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Доля молодежи, вовлеченной в общественную жизнь города Перми, от общей численности молодежи города Перми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%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50,6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51,6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52,4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52,5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52,2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521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мероприятий в сфере молодежной политики, проводимых на территории города Перми </w:t>
            </w:r>
            <w:r>
              <w:rPr>
                <w:color w:val="000000"/>
                <w:sz w:val="24"/>
                <w:szCs w:val="24"/>
              </w:rPr>
              <w:t xml:space="preserve">при поддержке администрации города Перми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134242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134242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134842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135142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135512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277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Муниципальные проекты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521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widowControl w:val="off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Муниципальный проект 1 </w:t>
            </w:r>
            <w:r>
              <w:rPr>
                <w:sz w:val="24"/>
                <w:szCs w:val="24"/>
              </w:rPr>
              <w:t xml:space="preserve">«Капитальные вложения в объекты недвижимого имущества муниципальной собственности в сфере культуры и молодежной политики»</w:t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521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textDirection w:val="lrTb"/>
            <w:noWrap w:val="false"/>
          </w:tcPr>
          <w:p>
            <w:pPr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приобретенных в собственность муниципального образования город Пермь нежилых зданий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ед.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департамент имущественных отношений администрации города Перми (далее – ДИО)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Комплексы процессных мероприятий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15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Комплекс процессных мероприятий 1 «Городские культурно-зрелищные мероприятия»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556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pStyle w:val="96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посещений </w:t>
            </w:r>
            <w:r>
              <w:rPr>
                <w:sz w:val="24"/>
                <w:szCs w:val="24"/>
                <w:lang w:eastAsia="en-US"/>
              </w:rPr>
              <w:t xml:space="preserve">культурно-зрелищных мероприятий на территории города Перми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7975255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8436425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8733405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8880855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8983542</w:t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87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проведенных мероприятий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532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516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512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pStyle w:val="9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504</w:t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83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Комплекс процессных мероприятий 2 «Создание условий для осуществления гражданами прав в сфере культуры»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685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спектаклей муниципальных театров и концертных программ муниципальных учреждений концертного типа, в рамках исполнения муниципального задания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288936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457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Численность участников клубных формирований, посещающих муниципальные клубные формирования бесплатно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3474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675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культурно-досуговых и культурно-просветительских мероприятий, выставок, публичных лекций в муниципальных учреждениях, подведомственных ДКМП 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835630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415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посещений муниципальных библиотек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1610580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1610580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1610580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1610580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1610580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243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13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widowControl w:val="o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</w:t>
            </w:r>
            <w:r>
              <w:rPr>
                <w:sz w:val="24"/>
                <w:szCs w:val="24"/>
              </w:rPr>
              <w:t xml:space="preserve">ОКН и ОМИ, охваченных мероприятиями по сохранению и использованию, находящихся на текущем содержании </w:t>
            </w:r>
            <w:r>
              <w:rPr>
                <w:color w:val="000000"/>
                <w:sz w:val="24"/>
                <w:szCs w:val="24"/>
              </w:rPr>
              <w:t xml:space="preserve">МАУК «ГЦОП»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278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278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278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278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278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243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14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widowControl w:val="o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усовершенствованных детских и кукольных театров путем создания новых постановок и (или) улучшения технического оснащения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15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Комплекс процессных мероприятий 3 «Обеспечение качественно нового уровня развития инфраструктуры»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639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Количество имущественных комплексов учреждений, в которых проводятся работы по выполнению нормативных требований, устранению предписаний надзорных органов и улучшению материально-технического обеспечения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</w:t>
            </w:r>
            <w:r>
              <w:rPr>
                <w:sz w:val="24"/>
                <w:szCs w:val="24"/>
                <w:lang w:val="en-US" w:eastAsia="en-US"/>
              </w:rPr>
              <w:t xml:space="preserve">1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26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18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5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6</w:t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315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Комплекс процессных мероприятий 4 «Одаренные дети города Перми»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733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16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учащихся муниципальных учреждений дополнительного образования в сфере культуры, получающих муниципальную услугу дополнительного образования по образовательным программам (в том числе дистанционно)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ед.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6649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6649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6649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6589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6589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281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17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зрителей открытых (отчетных) концертов и выставок в МАУ ДО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29945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29945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29945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29945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29945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226"/>
        </w:trPr>
        <w:tc>
          <w:tcPr>
            <w:gridSpan w:val="9"/>
            <w:shd w:val="clear" w:color="auto" w:fill="auto"/>
            <w:tcW w:w="14744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Комплекс процессных мероприятий 5 «Создание условий для эффективной самореализации молодежи города Перми»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838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18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Численность молодежи, вовлеченной в мероприятия по формированию </w:t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системы развития талантливой и инициативной молодежи, развития творческого, профессионального, интеллектуального потенциалов молодежи 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43302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43102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43302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43402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43542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498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19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Численность молодежи, вовлеченной в мероприятия, </w:t>
            </w:r>
            <w:r>
              <w:rPr>
                <w:sz w:val="24"/>
                <w:szCs w:val="24"/>
              </w:rPr>
              <w:t xml:space="preserve">направленные на вовлечение молодежи в инновационную, предпринимательскую и добровольческую деятельность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54190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54290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54490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54590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54690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498"/>
        </w:trPr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20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Численность молодежи, вовлеченной в мероприятия по гражданскому и патриотическому воспитанию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31180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31280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31480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31580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31710</w:t>
            </w:r>
            <w:r>
              <w:rPr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W w:w="553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21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6113" w:type="dxa"/>
            <w:vAlign w:val="center"/>
            <w:textDirection w:val="lrTb"/>
            <w:noWrap w:val="false"/>
          </w:tcPr>
          <w:p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Численность молодежи в возрасте от 14 до 25 лет, во</w:t>
            </w:r>
            <w:r>
              <w:rPr>
                <w:color w:val="000000"/>
                <w:sz w:val="24"/>
                <w:szCs w:val="24"/>
              </w:rPr>
              <w:t xml:space="preserve">влеченной в мероприятия по организации занятости молодежи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чел.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ДКМП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5570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5570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5570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5570</w:t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shd w:val="clear" w:color="000000" w:fill="ffffff"/>
            <w:tcW w:w="113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5570</w:t>
            </w:r>
            <w:r>
              <w:rPr>
                <w:color w:val="000000"/>
                <w:sz w:val="24"/>
                <w:szCs w:val="24"/>
              </w:rPr>
            </w:r>
          </w:p>
        </w:tc>
      </w:tr>
    </w:tbl>
    <w:p>
      <w:pPr>
        <w:pStyle w:val="969"/>
      </w:pPr>
      <w:r/>
      <w:r/>
    </w:p>
    <w:p>
      <w:pPr>
        <w:pStyle w:val="969"/>
      </w:pPr>
      <w:r>
        <w:t xml:space="preserve">10. Раздел «Финансовое обеспечение реализации муниципальной программы «Культура и молодежная политика города Перми» изложить в следующей редакции:</w:t>
      </w:r>
      <w:r/>
    </w:p>
    <w:p>
      <w:pPr>
        <w:pStyle w:val="969"/>
      </w:pPr>
      <w:r/>
      <w:r/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t xml:space="preserve">«</w:t>
      </w:r>
      <w:r>
        <w:rPr>
          <w:b/>
          <w:bCs/>
        </w:rPr>
        <w:t xml:space="preserve">ФИНАНСОВОЕ ОБЕСПЕЧЕНИЕ </w:t>
      </w:r>
      <w:r>
        <w:rPr>
          <w:b/>
          <w:bCs/>
        </w:rPr>
      </w:r>
    </w:p>
    <w:p>
      <w:pPr>
        <w:pStyle w:val="969"/>
        <w:ind w:firstLine="0"/>
        <w:jc w:val="center"/>
        <w:spacing w:line="238" w:lineRule="exact"/>
        <w:rPr>
          <w:b/>
          <w:bCs/>
        </w:rPr>
      </w:pPr>
      <w:r>
        <w:rPr>
          <w:b/>
          <w:bCs/>
        </w:rPr>
        <w:t xml:space="preserve">реализации муниципальной программы «Культура и молодежная политика города Перми» </w:t>
      </w:r>
      <w:r>
        <w:rPr>
          <w:b/>
          <w:bCs/>
        </w:rPr>
      </w:r>
    </w:p>
    <w:p>
      <w:pPr>
        <w:pStyle w:val="969"/>
      </w:pPr>
      <w:r/>
      <w:r/>
    </w:p>
    <w:tbl>
      <w:tblPr>
        <w:tblW w:w="14838" w:type="dxa"/>
        <w:tblLayout w:type="fixed"/>
        <w:tblLook w:val="04A0" w:firstRow="1" w:lastRow="0" w:firstColumn="1" w:lastColumn="0" w:noHBand="0" w:noVBand="1"/>
      </w:tblPr>
      <w:tblGrid>
        <w:gridCol w:w="3397"/>
        <w:gridCol w:w="1542"/>
        <w:gridCol w:w="2134"/>
        <w:gridCol w:w="1398"/>
        <w:gridCol w:w="1271"/>
        <w:gridCol w:w="1274"/>
        <w:gridCol w:w="1274"/>
        <w:gridCol w:w="1274"/>
        <w:gridCol w:w="1274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программы, структурного элемента программы, направления расходов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2" w:type="dxa"/>
            <w:vMerge w:val="restart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ФО (ФП), ТО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34" w:type="dxa"/>
            <w:vMerge w:val="restart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Источники финансового обеспечения</w:t>
            </w:r>
            <w:r>
              <w:rPr>
                <w:lang w:eastAsia="en-US"/>
              </w:rPr>
            </w:r>
          </w:p>
        </w:tc>
        <w:tc>
          <w:tcPr>
            <w:gridSpan w:val="6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65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Расходы, тыс. руб.</w:t>
            </w:r>
            <w:r>
              <w:rPr>
                <w:lang w:eastAsia="en-US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2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34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2025 год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2026 год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2027 год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2028 год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2029 год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right w:val="single" w:color="auto" w:sz="4" w:space="0"/>
            </w:tcBorders>
            <w:tcW w:w="1274" w:type="dxa"/>
            <w:vMerge w:val="restart"/>
            <w:textDirection w:val="lrTb"/>
            <w:noWrap w:val="false"/>
          </w:tcPr>
          <w:p>
            <w:pPr>
              <w:pStyle w:val="960"/>
            </w:pPr>
            <w:r>
              <w:t xml:space="preserve">Всего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2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34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98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(план)</w:t>
            </w:r>
            <w:r>
              <w:rPr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1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(план)</w:t>
            </w:r>
            <w:r>
              <w:rPr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(план)</w:t>
            </w:r>
            <w:r>
              <w:rPr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(план)</w:t>
            </w:r>
            <w:r>
              <w:rPr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(план)</w:t>
            </w:r>
            <w:r>
              <w:rPr>
                <w:lang w:eastAsia="en-US"/>
              </w:rPr>
            </w:r>
          </w:p>
        </w:tc>
        <w:tc>
          <w:tcPr>
            <w:tcBorders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74" w:type="dxa"/>
            <w:vMerge w:val="continue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</w:tr>
    </w:tbl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1542"/>
        <w:gridCol w:w="2134"/>
        <w:gridCol w:w="1398"/>
        <w:gridCol w:w="1271"/>
        <w:gridCol w:w="1274"/>
        <w:gridCol w:w="1274"/>
        <w:gridCol w:w="1274"/>
        <w:gridCol w:w="1274"/>
      </w:tblGrid>
      <w:tr>
        <w:tblPrEx/>
        <w:trPr>
          <w:trHeight w:val="300"/>
          <w:tblHeader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</w:pPr>
            <w:r>
              <w:t xml:space="preserve">1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2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3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4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9</w:t>
            </w:r>
            <w:r/>
          </w:p>
        </w:tc>
      </w:tr>
      <w:tr>
        <w:tblPrEx/>
        <w:trPr>
          <w:trHeight w:val="300"/>
        </w:trPr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Муниципальная программа города Перми</w:t>
            </w:r>
            <w:r/>
          </w:p>
        </w:tc>
        <w:tc>
          <w:tcPr>
            <w:shd w:val="clear" w:color="auto" w:fill="auto"/>
            <w:tcW w:w="1542" w:type="dxa"/>
            <w:vMerge w:val="restart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всего, в том числе: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3 110 659,7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2 736 417,7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2 836 782,8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2 483 085,8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2 491 685,8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13 658 631,8</w:t>
            </w:r>
            <w:r/>
          </w:p>
        </w:tc>
      </w:tr>
      <w:tr>
        <w:tblPrEx/>
        <w:trPr>
          <w:trHeight w:val="300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3 087 514,4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2 713 260,5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2 820 125,6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2 483 085,8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2 491 685,8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13 595 672,1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Пермского края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18 279,2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23 157,2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58 093,6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федеральный бюджет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4 866,1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4 866,1</w:t>
            </w:r>
            <w:r/>
          </w:p>
        </w:tc>
      </w:tr>
      <w:tr>
        <w:tblPrEx/>
        <w:trPr>
          <w:trHeight w:val="298"/>
        </w:trPr>
        <w:tc>
          <w:tcPr>
            <w:gridSpan w:val="8"/>
            <w:shd w:val="clear" w:color="auto" w:fill="auto"/>
            <w:tcW w:w="13564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Муниципальные проекты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</w:tr>
      <w:tr>
        <w:tblPrEx/>
        <w:trPr>
          <w:trHeight w:val="51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Муниципальный проект 1 «Капитальные вложения в объекты недвижимого имущества муниципальной собственности в сфере культуры и молодежной политики»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336 952,0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336 952,0</w:t>
            </w:r>
            <w:r>
              <w:rPr>
                <w:color w:val="000000"/>
              </w:rPr>
            </w:r>
          </w:p>
        </w:tc>
      </w:tr>
      <w:tr>
        <w:tblPrEx/>
        <w:trPr>
          <w:trHeight w:val="51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1.1 «Приобретение в собственность муниципального образования город Пермь нежилого здания»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ДИО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260 000,0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260 000,0</w:t>
            </w:r>
            <w:r>
              <w:rPr>
                <w:color w:val="000000"/>
              </w:rPr>
            </w:r>
          </w:p>
        </w:tc>
      </w:tr>
      <w:tr>
        <w:tblPrEx/>
        <w:trPr>
          <w:trHeight w:val="51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1.2 «Реконструкция здания МАУ «Дворец молодежи г.Перми»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управление капитального строительства администрации города Перми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76 952,0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</w:t>
            </w:r>
            <w:r>
              <w:rPr>
                <w:color w:val="000000"/>
              </w:rPr>
            </w:r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76 952,0</w:t>
            </w:r>
            <w:r>
              <w:rPr>
                <w:color w:val="000000"/>
              </w:rPr>
            </w:r>
          </w:p>
        </w:tc>
      </w:tr>
      <w:tr>
        <w:tblPrEx/>
        <w:trPr/>
        <w:tc>
          <w:tcPr>
            <w:gridSpan w:val="9"/>
            <w:shd w:val="clear" w:color="auto" w:fill="auto"/>
            <w:tcW w:w="14838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Комплексы процессных мероприятий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 процессных мероприятий </w:t>
            </w:r>
            <w:r>
              <w:t xml:space="preserve">1 «Городские культурно-зрелищные мероприятия»</w:t>
            </w:r>
            <w:r/>
          </w:p>
        </w:tc>
        <w:tc>
          <w:tcPr>
            <w:shd w:val="clear" w:color="auto" w:fill="auto"/>
            <w:tcW w:w="1542" w:type="dxa"/>
            <w:vMerge w:val="restart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всего, в том числе: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405 333,8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327 958,5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353 530,1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243 876,9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242 476,9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1 573 176,2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388 676,6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304 801,3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336 872,9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243 876,9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242 476,9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1 516 704,6</w:t>
            </w:r>
            <w:r/>
          </w:p>
        </w:tc>
      </w:tr>
      <w:tr>
        <w:tblPrEx/>
        <w:trPr>
          <w:trHeight w:val="27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Пермского края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23 157,2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56 471,6</w:t>
            </w:r>
            <w:r/>
          </w:p>
        </w:tc>
      </w:tr>
      <w:tr>
        <w:tblPrEx/>
        <w:trPr>
          <w:trHeight w:val="976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1.1 «Организация и проведение культурно-массовых мероприятий (иные зрелищные мероприятия), в том числе направленных на укрепление духовно-нравственных и культурных ценностей»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126440,0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126440,0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126440,0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126440,0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126440,0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632 200,0</w:t>
            </w:r>
            <w:r/>
          </w:p>
        </w:tc>
      </w:tr>
      <w:tr>
        <w:tblPrEx/>
        <w:trPr>
          <w:trHeight w:val="693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1.2 «Культурно-зрелищные мероприятия на территории города Перми», всего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262 236,6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178 354,8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210 432,9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117 436,9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116 036,9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884 498,1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в том числе: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/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</w:tr>
      <w:tr>
        <w:tblPrEx/>
        <w:trPr>
          <w:trHeight w:val="216"/>
        </w:trPr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24</w:t>
            </w:r>
            <w:r>
              <w:rPr>
                <w:lang w:val="en-US"/>
              </w:rPr>
              <w:t xml:space="preserve">8</w:t>
            </w:r>
            <w:r>
              <w:t xml:space="preserve">580,7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</w:t>
            </w:r>
            <w:r>
              <w:rPr>
                <w:lang w:val="en-US"/>
              </w:rPr>
              <w:t xml:space="preserve">62</w:t>
            </w:r>
            <w:r>
              <w:t xml:space="preserve">134,6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19</w:t>
            </w:r>
            <w:r>
              <w:rPr>
                <w:lang w:val="en-US"/>
              </w:rPr>
              <w:t xml:space="preserve">7</w:t>
            </w:r>
            <w:r>
              <w:t xml:space="preserve">202,7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104806,7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104806,7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817 531,4</w:t>
            </w:r>
            <w:r/>
          </w:p>
        </w:tc>
      </w:tr>
      <w:tr>
        <w:tblPrEx/>
        <w:trPr>
          <w:trHeight w:val="671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Дзержинского района</w:t>
            </w:r>
            <w:r>
              <w:t xml:space="preserve"> </w:t>
            </w:r>
            <w:r/>
          </w:p>
          <w:p>
            <w:pPr>
              <w:pStyle w:val="960"/>
            </w:pPr>
            <w:r>
              <w:t xml:space="preserve">(далее – АДР)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2415,0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3378,0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1788,0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1788,0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1788,0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11 157,0</w:t>
            </w:r>
            <w:r/>
          </w:p>
        </w:tc>
      </w:tr>
      <w:tr>
        <w:tblPrEx/>
        <w:trPr>
          <w:trHeight w:val="356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Индустриального района</w:t>
            </w:r>
            <w:r>
              <w:t xml:space="preserve"> (далее – АИР)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1 040,1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1 040,1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1 740,1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1 040,1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1 040,1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5 900,5</w:t>
            </w:r>
            <w:r/>
          </w:p>
        </w:tc>
      </w:tr>
      <w:tr>
        <w:tblPrEx/>
        <w:trPr>
          <w:trHeight w:val="285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Кировского района</w:t>
            </w:r>
            <w:r>
              <w:t xml:space="preserve"> </w:t>
            </w:r>
            <w:r/>
          </w:p>
          <w:p>
            <w:pPr>
              <w:pStyle w:val="960"/>
            </w:pPr>
            <w:r>
              <w:t xml:space="preserve">(далее – АКР)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1 202,1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1 902,1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1 202,1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1 202,1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1 202,1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6 710,5</w:t>
            </w:r>
            <w:r/>
          </w:p>
        </w:tc>
      </w:tr>
      <w:tr>
        <w:tblPrEx/>
        <w:trPr>
          <w:trHeight w:val="372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Ленинского района</w:t>
            </w:r>
            <w:r>
              <w:t xml:space="preserve"> </w:t>
            </w:r>
            <w:r/>
          </w:p>
          <w:p>
            <w:pPr>
              <w:pStyle w:val="960"/>
            </w:pPr>
            <w:r>
              <w:t xml:space="preserve">(далее –АЛР)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266,0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966,0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266,0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266,0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266,0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2 030,0</w:t>
            </w:r>
            <w:r/>
          </w:p>
        </w:tc>
      </w:tr>
      <w:tr>
        <w:tblPrEx/>
        <w:trPr>
          <w:trHeight w:val="302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Мотовилихинского района</w:t>
            </w:r>
            <w:r>
              <w:t xml:space="preserve"> (далее –АМР)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2 952,6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3 552,6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3 552,6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2 952,6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2 252,6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15 263,0</w:t>
            </w:r>
            <w:r/>
          </w:p>
        </w:tc>
      </w:tr>
      <w:tr>
        <w:tblPrEx/>
        <w:trPr>
          <w:trHeight w:val="388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Орджоникидзевского района</w:t>
            </w:r>
            <w:r>
              <w:t xml:space="preserve"> </w:t>
            </w:r>
            <w:r/>
          </w:p>
          <w:p>
            <w:pPr>
              <w:pStyle w:val="960"/>
            </w:pPr>
            <w:r>
              <w:t xml:space="preserve">(далее –АОР)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2 129,6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1 030,9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1 030,9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1 030,9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1 030,9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6 253,2</w:t>
            </w:r>
            <w:r/>
          </w:p>
        </w:tc>
      </w:tr>
      <w:tr>
        <w:tblPrEx/>
        <w:trPr>
          <w:trHeight w:val="317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Свердловского района</w:t>
            </w:r>
            <w:r>
              <w:t xml:space="preserve"> </w:t>
            </w:r>
            <w:r/>
          </w:p>
          <w:p>
            <w:pPr>
              <w:pStyle w:val="960"/>
            </w:pPr>
            <w:r>
              <w:t xml:space="preserve">(далее –АСР)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2 223,3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2 923,3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2 223,3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2 223,3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2 223,3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11 816,5</w:t>
            </w:r>
            <w:r/>
          </w:p>
        </w:tc>
      </w:tr>
      <w:tr>
        <w:tblPrEx/>
        <w:trPr>
          <w:trHeight w:val="375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администрация поселка Новые Ляды</w:t>
            </w:r>
            <w:r>
              <w:t xml:space="preserve"> </w:t>
            </w:r>
            <w:r/>
          </w:p>
          <w:p>
            <w:pPr>
              <w:pStyle w:val="960"/>
            </w:pPr>
            <w:r>
              <w:t xml:space="preserve">(далее – АНЛ)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1 427,2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1 427,2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1 427,2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2 127,2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pStyle w:val="960"/>
            </w:pPr>
            <w:r>
              <w:t xml:space="preserve">1 427,2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7 836,0</w:t>
            </w:r>
            <w:r/>
          </w:p>
        </w:tc>
      </w:tr>
      <w:tr>
        <w:tblPrEx/>
        <w:trPr>
          <w:trHeight w:val="198"/>
        </w:trPr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1.3 «Организация и проведение мероприятий в сфере культуры на территории Пермского края»</w:t>
            </w:r>
            <w:r/>
          </w:p>
        </w:tc>
        <w:tc>
          <w:tcPr>
            <w:shd w:val="clear" w:color="auto" w:fill="auto"/>
            <w:tcW w:w="1542" w:type="dxa"/>
            <w:vMerge w:val="restart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всего, в том числе: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23 163,7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56 478,1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6,5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6,5</w:t>
            </w:r>
            <w:r/>
          </w:p>
        </w:tc>
      </w:tr>
      <w:tr>
        <w:tblPrEx/>
        <w:trPr>
          <w:trHeight w:val="50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Пермского края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pStyle w:val="960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pStyle w:val="960"/>
            </w:pPr>
            <w:r>
              <w:t xml:space="preserve">23 157,2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16 657,2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pStyle w:val="960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56 471,6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 процессных мероприятий 2 «Создание условий для осуществления гражданами прав в сфере культуры»</w:t>
            </w:r>
            <w:r/>
          </w:p>
        </w:tc>
        <w:tc>
          <w:tcPr>
            <w:shd w:val="clear" w:color="auto" w:fill="auto"/>
            <w:tcW w:w="1542" w:type="dxa"/>
            <w:vMerge w:val="restart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всего, в том числе: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1 041 006,4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1 017 111,3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1 027 153,5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1 027 153,5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1 037 153,5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5 149 578,2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1 034 518,3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1 017 111,3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1 027 153,5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1 027 153,5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1 037 153,5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5 143 090,1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бюджет Пермского края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1 622,0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1 622,0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федеральный бюджет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4 866,1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4 866,1</w:t>
            </w:r>
            <w:r/>
          </w:p>
        </w:tc>
      </w:tr>
      <w:tr>
        <w:tblPrEx/>
        <w:trPr>
          <w:trHeight w:val="1406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2.1 «Ока</w:t>
            </w:r>
            <w:r>
              <w:t xml:space="preserve">зание услуг театрально-сценического искусства, концертной деятельности, проведение работ по организации деятельности клубных формирований и формирований самодеятельного народного творчества, работ по организации и проведению культурно-массовых мероприятий»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690 001,4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690 001,4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699 944,5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699 944,5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709 944,5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3 489 836,3</w:t>
            </w:r>
            <w:r/>
          </w:p>
        </w:tc>
      </w:tr>
      <w:tr>
        <w:tblPrEx/>
        <w:trPr>
          <w:trHeight w:val="562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2.2 «Создание концертных и театральных постановок, организация и обеспечение участия в творческих проектах»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15 937,5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15 996,5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16 095,6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16 095,6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16 095,6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80 220,8</w:t>
            </w:r>
            <w:r/>
          </w:p>
        </w:tc>
      </w:tr>
      <w:tr>
        <w:tblPrEx/>
        <w:trPr>
          <w:trHeight w:val="43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2.3 «Оказание услуг библиотечного обслуживания»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294 521,7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294 521,7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294 521,7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294 521,7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294 521,7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1 472 608,5</w:t>
            </w:r>
            <w:r/>
          </w:p>
        </w:tc>
      </w:tr>
      <w:tr>
        <w:tblPrEx/>
        <w:trPr>
          <w:trHeight w:val="982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2.4 «Оказание услуг по изучению, сохранению, использованию и популяризации объектов культурного наследия, объектов монументального искус</w:t>
            </w:r>
            <w:r>
              <w:t xml:space="preserve">ства»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16 591,7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16 591,7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16 591,7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16 591,7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16 591,7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82 958,5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2.5 «Повышение фонда оплаты труда»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17 400,5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17 400,5</w:t>
            </w:r>
            <w:r/>
          </w:p>
        </w:tc>
      </w:tr>
      <w:tr>
        <w:tblPrEx/>
        <w:trPr>
          <w:trHeight w:val="129"/>
        </w:trPr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2.6 «Поддержка творческой деятельности и техническое оснащение детских и кукольных театров»</w:t>
            </w:r>
            <w:r/>
          </w:p>
        </w:tc>
        <w:tc>
          <w:tcPr>
            <w:shd w:val="clear" w:color="auto" w:fill="auto"/>
            <w:tcW w:w="1542" w:type="dxa"/>
            <w:vMerge w:val="restart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всего, в том числе: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6 553,6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6 553,6</w:t>
            </w:r>
            <w:r/>
          </w:p>
        </w:tc>
      </w:tr>
      <w:tr>
        <w:tblPrEx/>
        <w:trPr>
          <w:trHeight w:val="133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65,5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65,5</w:t>
            </w:r>
            <w:r/>
          </w:p>
        </w:tc>
      </w:tr>
      <w:tr>
        <w:tblPrEx/>
        <w:trPr>
          <w:trHeight w:val="279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бюджет Пермского края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1 622,0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1 622,0</w:t>
            </w:r>
            <w:r/>
          </w:p>
        </w:tc>
      </w:tr>
      <w:tr>
        <w:tblPrEx/>
        <w:trPr/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</w:pPr>
            <w:r/>
            <w:r/>
          </w:p>
        </w:tc>
        <w:tc>
          <w:tcPr>
            <w:shd w:val="clear" w:color="auto" w:fill="auto"/>
            <w:tcW w:w="1542" w:type="dxa"/>
            <w:vMerge w:val="continue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rPr>
                <w:lang w:eastAsia="en-US"/>
              </w:rPr>
              <w:t xml:space="preserve">федеральный бюджет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4 866,1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4 866,1</w:t>
            </w:r>
            <w:r/>
          </w:p>
        </w:tc>
      </w:tr>
      <w:tr>
        <w:tblPrEx/>
        <w:trPr>
          <w:trHeight w:val="553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 процессных мероприятий 3 «Обеспечение качественно нового уровня развития инфраструктуры»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319 995,8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377 104,7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441 856,0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230 266,8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230 266,8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1 599 490,1</w:t>
            </w:r>
            <w:r/>
          </w:p>
        </w:tc>
      </w:tr>
      <w:tr>
        <w:tblPrEx/>
        <w:trPr>
          <w:trHeight w:val="561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3.1 «Сохранение историко-культурного наследия»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31 358,9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2 317,0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2 317,0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2 317,0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2 317,0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40 626,9</w:t>
            </w:r>
            <w:r/>
          </w:p>
        </w:tc>
      </w:tr>
      <w:tr>
        <w:tblPrEx/>
        <w:trPr>
          <w:trHeight w:val="555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3.2 «Взносы на капитальный ремонт общего имущества в многоквартирных домах»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2 306,3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2 306,3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2 306,3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1 779,2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1 779,2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10 477,3</w:t>
            </w:r>
            <w:r/>
          </w:p>
        </w:tc>
      </w:tr>
      <w:tr>
        <w:tblPrEx/>
        <w:trPr>
          <w:trHeight w:val="705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3.3 «Выполнение предписаний надзорных органов, приведение в нормативное состояние и улучшение материально-технического обеспечения»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286 330,6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372 481,4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437 232,7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226 170,6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226 170,6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1 548 385,9</w:t>
            </w:r>
            <w:r/>
          </w:p>
        </w:tc>
      </w:tr>
      <w:tr>
        <w:tblPrEx/>
        <w:trPr>
          <w:trHeight w:val="395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 процессных мероприятий 4 «Одаренные дети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765 958,3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765 819,6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765 819,6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755 955,4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755 955,4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3 809 508,3</w:t>
            </w:r>
            <w:r/>
          </w:p>
        </w:tc>
      </w:tr>
      <w:tr>
        <w:tblPrEx/>
        <w:trPr>
          <w:trHeight w:val="781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4.1 «Оказание услуг по реализации дополнительных образовательных программ в области культуры и искусств»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725 289,7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738 596,7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738 596,7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728 732,5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728 732,5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3 659 948,1</w:t>
            </w:r>
            <w:r/>
          </w:p>
        </w:tc>
      </w:tr>
      <w:tr>
        <w:tblPrEx/>
        <w:trPr>
          <w:trHeight w:val="51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4.2 «Повышение фонда оплаты труда»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12 568,8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12 568,8</w:t>
            </w:r>
            <w:r/>
          </w:p>
        </w:tc>
      </w:tr>
      <w:tr>
        <w:tblPrEx/>
        <w:trPr>
          <w:trHeight w:val="561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4.3 «Мероприятия в сфере дополнительного образования детей в области искусств»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4 985,0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4 985,0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4 985,0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4 985,0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4 985,0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24 925,0</w:t>
            </w:r>
            <w:r/>
          </w:p>
        </w:tc>
      </w:tr>
      <w:tr>
        <w:tblPrEx/>
        <w:trPr>
          <w:trHeight w:val="98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4.4 «Предоставление мер социальной поддержки руководителям и педагогическим работникам муниципальных образовательных учреждений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22 634,8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21 757,9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21 757,9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21 757,9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21 757,9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109 666,4</w:t>
            </w:r>
            <w:r/>
          </w:p>
        </w:tc>
      </w:tr>
      <w:tr>
        <w:tblPrEx/>
        <w:trPr>
          <w:trHeight w:val="982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4.5 «Выплата стипендий одаренным детям, обучающимся в образовательных учреждениях дополнительного образования детей в сфере культуры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480,0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480,0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480,0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480,0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480,0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2 400,0</w:t>
            </w:r>
            <w:r/>
          </w:p>
        </w:tc>
      </w:tr>
      <w:tr>
        <w:tblPrEx/>
        <w:trPr>
          <w:trHeight w:val="647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 процессных мероприятий 5 «Создание условий для эффективной самореализации молодежи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74 259,1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73 218,0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73 218,0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73 218,0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73 218,0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367 131,1</w:t>
            </w:r>
            <w:r/>
          </w:p>
        </w:tc>
      </w:tr>
      <w:tr>
        <w:tblPrEx/>
        <w:trPr>
          <w:trHeight w:val="553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5.1 «Выполнение муниципальных работ в сфере молодежной политики»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32 699,3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33 956,5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33 956,5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33 956,5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33 956,5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168 525,3</w:t>
            </w:r>
            <w:r/>
          </w:p>
        </w:tc>
      </w:tr>
      <w:tr>
        <w:tblPrEx/>
        <w:trPr>
          <w:trHeight w:val="51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5.2 «Повышение фонда оплаты труда»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1 192,0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1 192,0</w:t>
            </w:r>
            <w:r/>
          </w:p>
        </w:tc>
      </w:tr>
      <w:tr>
        <w:tblPrEx/>
        <w:trPr>
          <w:trHeight w:val="455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5.3 «Поддержка инициативной и талантливой молодежи»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3 449,6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2 249,6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2 249,6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2 249,6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2 249,6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12 448,0</w:t>
            </w:r>
            <w:r/>
          </w:p>
        </w:tc>
      </w:tr>
      <w:tr>
        <w:tblPrEx/>
        <w:trPr>
          <w:trHeight w:val="987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5.4 «Субсидии некоммерческим организациям, не являющимся государственными (муниципальными) учреждениями, выполняющим муниципальные работы в сфере молодежной политики»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2 333,1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2 426,8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2 426,8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2 426,8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2 426,8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12 040,3</w:t>
            </w:r>
            <w:r/>
          </w:p>
        </w:tc>
      </w:tr>
      <w:tr>
        <w:tblPrEx/>
        <w:trPr>
          <w:trHeight w:val="561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5.5 «Организация занятости молодежи»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6 705,9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6 705,9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6 705,9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6 705,9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6 705,9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33 529,5</w:t>
            </w:r>
            <w:r/>
          </w:p>
        </w:tc>
      </w:tr>
      <w:tr>
        <w:tblPrEx/>
        <w:trPr>
          <w:trHeight w:val="104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5.6 «Субсидии некоммерческим организациям, не являющимся государственными (муниципальными) учреждениями, выполняющим работы по организации занятости молодежи», всего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/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27 879,2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27 879,2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27 879,2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27 879,2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27 879,2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139 396,0</w:t>
            </w:r>
            <w:r/>
          </w:p>
        </w:tc>
      </w:tr>
      <w:tr>
        <w:tblPrEx/>
        <w:trPr>
          <w:trHeight w:val="216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в том числе: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/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/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0,0</w:t>
            </w:r>
            <w:r/>
          </w:p>
        </w:tc>
      </w:tr>
      <w:tr>
        <w:tblPrEx/>
        <w:trPr>
          <w:trHeight w:val="615"/>
        </w:trPr>
        <w:tc>
          <w:tcPr>
            <w:shd w:val="clear" w:color="auto" w:fill="auto"/>
            <w:tcW w:w="3397" w:type="dxa"/>
            <w:vMerge w:val="restart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АДР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4 346,4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4 346,4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4 346,4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4 346,4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4 346,4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21 732,0</w:t>
            </w:r>
            <w:r/>
          </w:p>
        </w:tc>
      </w:tr>
      <w:tr>
        <w:tblPrEx/>
        <w:trPr>
          <w:trHeight w:val="567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АИР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4 781,1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4 781,1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4 781,1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4 781,1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4 781,1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23 905,5</w:t>
            </w:r>
            <w:r/>
          </w:p>
        </w:tc>
      </w:tr>
      <w:tr>
        <w:tblPrEx/>
        <w:trPr>
          <w:trHeight w:val="547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АКР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16 765,0</w:t>
            </w:r>
            <w:r/>
          </w:p>
        </w:tc>
      </w:tr>
      <w:tr>
        <w:tblPrEx/>
        <w:trPr>
          <w:trHeight w:val="555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АЛР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1 241,8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1 241,8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1 241,8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1 241,8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1 241,8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6 209,0</w:t>
            </w:r>
            <w:r/>
          </w:p>
        </w:tc>
      </w:tr>
      <w:tr>
        <w:tblPrEx/>
        <w:trPr>
          <w:trHeight w:val="421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АМР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5 277,8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5 277,8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5 277,8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5 277,8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5 277,8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26 389,0</w:t>
            </w:r>
            <w:r/>
          </w:p>
        </w:tc>
      </w:tr>
      <w:tr>
        <w:tblPrEx/>
        <w:trPr>
          <w:trHeight w:val="555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АОР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3 353,0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16 765,0</w:t>
            </w:r>
            <w:r/>
          </w:p>
        </w:tc>
      </w:tr>
      <w:tr>
        <w:tblPrEx/>
        <w:trPr>
          <w:trHeight w:val="549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АСР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5 215,7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5 215,7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5 215,7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5 215,7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5 215,7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26 078,5</w:t>
            </w:r>
            <w:r/>
          </w:p>
        </w:tc>
      </w:tr>
      <w:tr>
        <w:tblPrEx/>
        <w:trPr>
          <w:trHeight w:val="429"/>
        </w:trPr>
        <w:tc>
          <w:tcPr>
            <w:shd w:val="clear" w:color="auto" w:fill="auto"/>
            <w:tcW w:w="3397" w:type="dxa"/>
            <w:vMerge w:val="continue"/>
            <w:textDirection w:val="lrTb"/>
            <w:noWrap w:val="false"/>
          </w:tcPr>
          <w:p>
            <w:pPr>
              <w:pStyle w:val="960"/>
              <w:jc w:val="left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АНЛ</w:t>
            </w:r>
            <w:r>
              <w:rPr>
                <w:lang w:eastAsia="en-US"/>
              </w:rPr>
            </w:r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  <w:rPr>
                <w:lang w:eastAsia="en-US"/>
              </w:rPr>
            </w:pPr>
            <w:r>
              <w:rPr>
                <w:lang w:eastAsia="en-US"/>
              </w:rPr>
              <w:t xml:space="preserve">бюджет города Перми</w:t>
            </w:r>
            <w:r>
              <w:rPr>
                <w:lang w:eastAsia="en-US"/>
              </w:rPr>
            </w:r>
          </w:p>
        </w:tc>
        <w:tc>
          <w:tcPr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310,4</w:t>
            </w:r>
            <w:r/>
          </w:p>
        </w:tc>
        <w:tc>
          <w:tcPr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310,4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310,4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310,4</w:t>
            </w:r>
            <w:r/>
          </w:p>
        </w:tc>
        <w:tc>
          <w:tcPr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310,4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1 552,0</w:t>
            </w:r>
            <w:r/>
          </w:p>
        </w:tc>
      </w:tr>
      <w:tr>
        <w:tblPrEx/>
        <w:trPr>
          <w:trHeight w:val="781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Комплекс процессных мероприятий 6 «Обеспечение деятельности департамента культуры и молодежной политики администрации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167 154,3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175 205,6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175 205,6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152 615,2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152 615,2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822 795,9</w:t>
            </w:r>
            <w:r/>
          </w:p>
        </w:tc>
      </w:tr>
      <w:tr>
        <w:tblPrEx/>
        <w:trPr>
          <w:trHeight w:val="423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6.1 «Содержание муниципальных органов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 w:val="false"/>
          </w:tcPr>
          <w:p>
            <w:pPr>
              <w:jc w:val="center"/>
            </w:pPr>
            <w:r>
              <w:t xml:space="preserve">40 439,5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 w:val="false"/>
          </w:tcPr>
          <w:p>
            <w:pPr>
              <w:jc w:val="center"/>
            </w:pPr>
            <w:r>
              <w:t xml:space="preserve">42 622,0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42 622,0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36 274,3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36 274,3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198 232,1</w:t>
            </w:r>
            <w:r/>
          </w:p>
        </w:tc>
      </w:tr>
      <w:tr>
        <w:tblPrEx/>
        <w:trPr>
          <w:trHeight w:val="840"/>
        </w:trPr>
        <w:tc>
          <w:tcPr>
            <w:shd w:val="clear" w:color="auto" w:fill="auto"/>
            <w:tcW w:w="3397" w:type="dxa"/>
            <w:textDirection w:val="lrTb"/>
            <w:noWrap w:val="false"/>
          </w:tcPr>
          <w:p>
            <w:pPr>
              <w:pStyle w:val="960"/>
              <w:jc w:val="left"/>
            </w:pPr>
            <w:r>
              <w:t xml:space="preserve">Направление расходов 6.2 «Содержание муниципального казенного учреждения «Центр бухгалтерского учета и отчетности в сфере культуры и молодежной политики» города Перми»</w:t>
            </w:r>
            <w:r/>
          </w:p>
        </w:tc>
        <w:tc>
          <w:tcPr>
            <w:shd w:val="clear" w:color="auto" w:fill="auto"/>
            <w:tcW w:w="1542" w:type="dxa"/>
            <w:textDirection w:val="lrTb"/>
            <w:noWrap w:val="false"/>
          </w:tcPr>
          <w:p>
            <w:pPr>
              <w:pStyle w:val="960"/>
            </w:pPr>
            <w:r>
              <w:t xml:space="preserve">ДКМП</w:t>
            </w:r>
            <w:r/>
          </w:p>
        </w:tc>
        <w:tc>
          <w:tcPr>
            <w:shd w:val="clear" w:color="auto" w:fill="auto"/>
            <w:tcW w:w="2134" w:type="dxa"/>
            <w:textDirection w:val="lrTb"/>
            <w:noWrap w:val="false"/>
          </w:tcPr>
          <w:p>
            <w:pPr>
              <w:pStyle w:val="960"/>
            </w:pPr>
            <w:r>
              <w:t xml:space="preserve">бюджет города Перми</w:t>
            </w:r>
            <w:r/>
          </w:p>
        </w:tc>
        <w:tc>
          <w:tcPr>
            <w:shd w:val="clear" w:color="auto" w:fill="auto"/>
            <w:tcW w:w="1398" w:type="dxa"/>
            <w:textDirection w:val="lrTb"/>
            <w:noWrap/>
          </w:tcPr>
          <w:p>
            <w:pPr>
              <w:jc w:val="center"/>
            </w:pPr>
            <w:r>
              <w:t xml:space="preserve">126 714,8</w:t>
            </w:r>
            <w:r/>
          </w:p>
        </w:tc>
        <w:tc>
          <w:tcPr>
            <w:shd w:val="clear" w:color="auto" w:fill="auto"/>
            <w:tcW w:w="1271" w:type="dxa"/>
            <w:textDirection w:val="lrTb"/>
            <w:noWrap/>
          </w:tcPr>
          <w:p>
            <w:pPr>
              <w:jc w:val="center"/>
            </w:pPr>
            <w:r>
              <w:t xml:space="preserve">132 583,6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132 583,6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116 340,9</w:t>
            </w:r>
            <w:r/>
          </w:p>
        </w:tc>
        <w:tc>
          <w:tcPr>
            <w:shd w:val="clear" w:color="auto" w:fill="auto"/>
            <w:tcW w:w="1274" w:type="dxa"/>
            <w:textDirection w:val="lrTb"/>
            <w:noWrap/>
          </w:tcPr>
          <w:p>
            <w:pPr>
              <w:jc w:val="center"/>
            </w:pPr>
            <w:r>
              <w:t xml:space="preserve">116 340,9</w:t>
            </w:r>
            <w:r/>
          </w:p>
        </w:tc>
        <w:tc>
          <w:tcPr>
            <w:tcW w:w="1274" w:type="dxa"/>
            <w:textDirection w:val="lrTb"/>
            <w:noWrap w:val="false"/>
          </w:tcPr>
          <w:p>
            <w:pPr>
              <w:jc w:val="center"/>
            </w:pPr>
            <w:r>
              <w:t xml:space="preserve">624 563,8</w:t>
            </w:r>
            <w:r/>
          </w:p>
        </w:tc>
      </w:tr>
    </w:tbl>
    <w:p>
      <w:pPr>
        <w:spacing w:after="160" w:line="256" w:lineRule="auto"/>
        <w:rPr>
          <w:bCs/>
        </w:rPr>
      </w:pPr>
      <w:r>
        <w:rPr>
          <w:bCs/>
        </w:rPr>
      </w:r>
      <w:r>
        <w:rPr>
          <w:bCs/>
        </w:rPr>
      </w:r>
    </w:p>
    <w:sectPr>
      <w:footnotePr/>
      <w:endnotePr/>
      <w:type w:val="nextPage"/>
      <w:pgSz w:w="16838" w:h="11905" w:orient="landscape"/>
      <w:pgMar w:top="1134" w:right="567" w:bottom="1134" w:left="1418" w:header="363" w:footer="709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Segoe UI">
    <w:panose1 w:val="020B0503020204020204"/>
  </w:font>
  <w:font w:name="Tahoma">
    <w:panose1 w:val="020B0604030504040204"/>
  </w:font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920747731"/>
      <w:docPartObj>
        <w:docPartGallery w:val="Page Numbers (Top of Page)"/>
        <w:docPartUnique w:val="true"/>
      </w:docPartObj>
      <w:rPr/>
    </w:sdtPr>
    <w:sdtContent>
      <w:p>
        <w:pPr>
          <w:pStyle w:val="935"/>
          <w:jc w:val="center"/>
          <w:tabs>
            <w:tab w:val="clear" w:pos="8306" w:leader="none"/>
          </w:tabs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</w:rPr>
          <w:t xml:space="preserve">2</w:t>
        </w:r>
        <w:r>
          <w:rPr>
            <w:sz w:val="28"/>
            <w:szCs w:val="28"/>
          </w:rPr>
          <w:fldChar w:fldCharType="end"/>
        </w:r>
        <w:r>
          <w:rPr>
            <w:sz w:val="28"/>
            <w:szCs w:val="28"/>
          </w:rPr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35"/>
      <w:rPr>
        <w:rStyle w:val="934"/>
      </w:rPr>
      <w:framePr w:wrap="around" w:vAnchor="text" w:hAnchor="margin" w:xAlign="center" w:y="1"/>
    </w:pPr>
    <w:r>
      <w:rPr>
        <w:rStyle w:val="934"/>
      </w:rPr>
      <w:fldChar w:fldCharType="begin"/>
    </w:r>
    <w:r>
      <w:rPr>
        <w:rStyle w:val="934"/>
      </w:rPr>
      <w:instrText xml:space="preserve">PAGE  </w:instrText>
    </w:r>
    <w:r>
      <w:rPr>
        <w:rStyle w:val="934"/>
      </w:rPr>
      <w:fldChar w:fldCharType="end"/>
    </w:r>
    <w:r>
      <w:rPr>
        <w:rStyle w:val="934"/>
      </w:rPr>
    </w:r>
  </w:p>
  <w:p>
    <w:pPr>
      <w:pStyle w:val="935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5" w:hanging="360"/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/>
      <w:suff w:val="tab"/>
      <w:lvlText w:val="%1.%2."/>
      <w:lvlJc w:val="left"/>
      <w:pPr>
        <w:ind w:left="1434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43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812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821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559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68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937" w:hanging="21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suff w:val="tab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5">
    <w:multiLevelType w:val="hybridMultilevel"/>
    <w:lvl w:ilvl="0">
      <w:start w:val="4"/>
      <w:numFmt w:val="decimal"/>
      <w:isLgl w:val="false"/>
      <w:suff w:val="tab"/>
      <w:lvlText w:val="%1"/>
      <w:lvlJc w:val="left"/>
      <w:pPr>
        <w:ind w:left="1070" w:hanging="360"/>
      </w:pPr>
      <w:rPr>
        <w:rFonts w:hint="default" w:eastAsiaTheme="minorHAnsi"/>
        <w:b w:val="0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isLgl w:val="false"/>
      <w:suff w:val="tab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isLgl w:val="false"/>
      <w:suff w:val="tab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rFonts w:hint="default"/>
        <w:b/>
      </w:rPr>
    </w:lvl>
    <w:lvl w:ilvl="1">
      <w:start w:val="1"/>
      <w:numFmt w:val="bullet"/>
      <w:isLgl w:val="false"/>
      <w:suff w:val="tab"/>
      <w:lvlText w:val=""/>
      <w:lvlJc w:val="left"/>
      <w:pPr>
        <w:ind w:left="1364" w:hanging="360"/>
      </w:pPr>
      <w:rPr>
        <w:rFonts w:hint="default" w:ascii="Symbol" w:hAnsi="Symbol"/>
      </w:rPr>
    </w:lvl>
    <w:lvl w:ilvl="2">
      <w:start w:val="1"/>
      <w:numFmt w:val="lowerRoman"/>
      <w:isLgl w:val="false"/>
      <w:suff w:val="tab"/>
      <w:lvlText w:val="%3."/>
      <w:lvlJc w:val="right"/>
      <w:pPr>
        <w:ind w:left="208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0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2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24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96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68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04" w:hanging="180"/>
      </w:pPr>
    </w:lvl>
  </w:abstractNum>
  <w:abstractNum w:abstractNumId="8">
    <w:multiLevelType w:val="hybridMultilevel"/>
    <w:lvl w:ilvl="0">
      <w:start w:val="829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2"/>
      <w:numFmt w:val="decimal"/>
      <w:isLgl/>
      <w:suff w:val="tab"/>
      <w:lvlText w:val="%1.%2."/>
      <w:lvlJc w:val="left"/>
      <w:pPr>
        <w:ind w:left="1434" w:hanging="720"/>
      </w:pPr>
      <w:rPr>
        <w:rFonts w:hint="default" w:eastAsiaTheme="minorHAnsi"/>
        <w:b w:val="0"/>
        <w:color w:val="auto"/>
      </w:rPr>
    </w:lvl>
    <w:lvl w:ilvl="2">
      <w:start w:val="1"/>
      <w:numFmt w:val="decimal"/>
      <w:isLgl/>
      <w:suff w:val="tab"/>
      <w:lvlText w:val="%1.%2.%3."/>
      <w:lvlJc w:val="left"/>
      <w:pPr>
        <w:ind w:left="1788" w:hanging="720"/>
      </w:pPr>
      <w:rPr>
        <w:rFonts w:hint="default" w:eastAsiaTheme="minorHAnsi"/>
        <w:b w:val="0"/>
        <w:color w:val="auto"/>
      </w:rPr>
    </w:lvl>
    <w:lvl w:ilvl="3">
      <w:start w:val="1"/>
      <w:numFmt w:val="decimal"/>
      <w:isLgl/>
      <w:suff w:val="tab"/>
      <w:lvlText w:val="%1.%2.%3.%4."/>
      <w:lvlJc w:val="left"/>
      <w:pPr>
        <w:ind w:left="2502" w:hanging="1080"/>
      </w:pPr>
      <w:rPr>
        <w:rFonts w:hint="default" w:eastAsiaTheme="minorHAnsi"/>
        <w:b w:val="0"/>
        <w:color w:val="auto"/>
      </w:rPr>
    </w:lvl>
    <w:lvl w:ilvl="4">
      <w:start w:val="1"/>
      <w:numFmt w:val="decimal"/>
      <w:isLgl/>
      <w:suff w:val="tab"/>
      <w:lvlText w:val="%1.%2.%3.%4.%5."/>
      <w:lvlJc w:val="left"/>
      <w:pPr>
        <w:ind w:left="2856" w:hanging="1080"/>
      </w:pPr>
      <w:rPr>
        <w:rFonts w:hint="default" w:eastAsiaTheme="minorHAnsi"/>
        <w:b w:val="0"/>
        <w:color w:val="auto"/>
      </w:rPr>
    </w:lvl>
    <w:lvl w:ilvl="5">
      <w:start w:val="1"/>
      <w:numFmt w:val="decimal"/>
      <w:isLgl/>
      <w:suff w:val="tab"/>
      <w:lvlText w:val="%1.%2.%3.%4.%5.%6."/>
      <w:lvlJc w:val="left"/>
      <w:pPr>
        <w:ind w:left="3570" w:hanging="1440"/>
      </w:pPr>
      <w:rPr>
        <w:rFonts w:hint="default" w:eastAsiaTheme="minorHAnsi"/>
        <w:b w:val="0"/>
        <w:color w:val="auto"/>
      </w:rPr>
    </w:lvl>
    <w:lvl w:ilvl="6">
      <w:start w:val="1"/>
      <w:numFmt w:val="decimal"/>
      <w:isLgl/>
      <w:suff w:val="tab"/>
      <w:lvlText w:val="%1.%2.%3.%4.%5.%6.%7."/>
      <w:lvlJc w:val="left"/>
      <w:pPr>
        <w:ind w:left="4284" w:hanging="1800"/>
      </w:pPr>
      <w:rPr>
        <w:rFonts w:hint="default" w:eastAsiaTheme="minorHAnsi"/>
        <w:b w:val="0"/>
        <w:color w:val="auto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638" w:hanging="1800"/>
      </w:pPr>
      <w:rPr>
        <w:rFonts w:hint="default" w:eastAsiaTheme="minorHAnsi"/>
        <w:b w:val="0"/>
        <w:color w:val="auto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352" w:hanging="2160"/>
      </w:pPr>
      <w:rPr>
        <w:rFonts w:hint="default" w:eastAsiaTheme="minorHAnsi"/>
        <w:b w:val="0"/>
        <w:color w:val="auto"/>
      </w:rPr>
    </w:lvl>
  </w:abstractNum>
  <w:abstractNum w:abstractNumId="12">
    <w:multiLevelType w:val="hybridMultilevel"/>
    <w:lvl w:ilvl="0">
      <w:start w:val="10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suff w:val="tab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5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7">
    <w:multiLevelType w:val="hybridMultilevel"/>
    <w:lvl w:ilvl="0">
      <w:start w:val="10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9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  <w:b w:val="0"/>
        <w:bCs/>
      </w:rPr>
    </w:lvl>
    <w:lvl w:ilvl="1">
      <w:start w:val="2"/>
      <w:numFmt w:val="decimal"/>
      <w:isLgl w:val="false"/>
      <w:suff w:val="tab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0800" w:hanging="2160"/>
      </w:pPr>
      <w:rPr>
        <w:rFonts w:hint="default"/>
      </w:rPr>
    </w:lvl>
  </w:abstractNum>
  <w:num w:numId="1">
    <w:abstractNumId w:val="14"/>
  </w:num>
  <w:num w:numId="2">
    <w:abstractNumId w:val="4"/>
  </w:num>
  <w:num w:numId="3">
    <w:abstractNumId w:val="10"/>
  </w:num>
  <w:num w:numId="4">
    <w:abstractNumId w:val="7"/>
  </w:num>
  <w:num w:numId="5">
    <w:abstractNumId w:val="3"/>
  </w:num>
  <w:num w:numId="6">
    <w:abstractNumId w:val="9"/>
  </w:num>
  <w:num w:numId="7">
    <w:abstractNumId w:val="18"/>
  </w:num>
  <w:num w:numId="8">
    <w:abstractNumId w:val="1"/>
  </w:num>
  <w:num w:numId="9">
    <w:abstractNumId w:val="11"/>
  </w:num>
  <w:num w:numId="10">
    <w:abstractNumId w:val="5"/>
  </w:num>
  <w:num w:numId="11">
    <w:abstractNumId w:val="13"/>
  </w:num>
  <w:num w:numId="12">
    <w:abstractNumId w:val="19"/>
  </w:num>
  <w:num w:numId="13">
    <w:abstractNumId w:val="2"/>
  </w:num>
  <w:num w:numId="14">
    <w:abstractNumId w:val="6"/>
  </w:num>
  <w:num w:numId="15">
    <w:abstractNumId w:val="0"/>
  </w:num>
  <w:num w:numId="16">
    <w:abstractNumId w:val="15"/>
  </w:num>
  <w:num w:numId="17">
    <w:abstractNumId w:val="8"/>
  </w:num>
  <w:num w:numId="18">
    <w:abstractNumId w:val="17"/>
  </w:num>
  <w:num w:numId="19">
    <w:abstractNumId w:val="1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50">
    <w:name w:val="Plain Table 1"/>
    <w:basedOn w:val="74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4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3">
    <w:name w:val="Grid Table 5 Dark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7">
    <w:name w:val="Grid Table 7 Colorful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6">
    <w:name w:val="List Table 7 Colorful"/>
    <w:basedOn w:val="7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paragraph" w:styleId="729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730">
    <w:name w:val="Heading 1"/>
    <w:basedOn w:val="729"/>
    <w:next w:val="729"/>
    <w:link w:val="925"/>
    <w:qFormat/>
    <w:pPr>
      <w:ind w:right="-1" w:firstLine="709"/>
      <w:jc w:val="both"/>
      <w:keepNext/>
      <w:outlineLvl w:val="0"/>
    </w:pPr>
    <w:rPr>
      <w:sz w:val="24"/>
    </w:rPr>
  </w:style>
  <w:style w:type="paragraph" w:styleId="731">
    <w:name w:val="Heading 2"/>
    <w:basedOn w:val="729"/>
    <w:next w:val="729"/>
    <w:link w:val="926"/>
    <w:qFormat/>
    <w:pPr>
      <w:ind w:right="-1"/>
      <w:jc w:val="both"/>
      <w:keepNext/>
      <w:outlineLvl w:val="1"/>
    </w:pPr>
    <w:rPr>
      <w:sz w:val="24"/>
    </w:rPr>
  </w:style>
  <w:style w:type="paragraph" w:styleId="732">
    <w:name w:val="Heading 3"/>
    <w:basedOn w:val="729"/>
    <w:next w:val="729"/>
    <w:link w:val="75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33">
    <w:name w:val="Heading 4"/>
    <w:basedOn w:val="729"/>
    <w:next w:val="729"/>
    <w:link w:val="75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34">
    <w:name w:val="Heading 5"/>
    <w:basedOn w:val="729"/>
    <w:next w:val="729"/>
    <w:link w:val="75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35">
    <w:name w:val="Heading 6"/>
    <w:basedOn w:val="729"/>
    <w:next w:val="729"/>
    <w:link w:val="76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36">
    <w:name w:val="Heading 7"/>
    <w:basedOn w:val="729"/>
    <w:next w:val="729"/>
    <w:link w:val="76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37">
    <w:name w:val="Heading 8"/>
    <w:basedOn w:val="729"/>
    <w:next w:val="729"/>
    <w:link w:val="76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38">
    <w:name w:val="Heading 9"/>
    <w:basedOn w:val="729"/>
    <w:next w:val="729"/>
    <w:link w:val="76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9" w:default="1">
    <w:name w:val="Default Paragraph Font"/>
    <w:uiPriority w:val="1"/>
    <w:semiHidden/>
    <w:unhideWhenUsed/>
  </w:style>
  <w:style w:type="table" w:styleId="74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41" w:default="1">
    <w:name w:val="No List"/>
    <w:uiPriority w:val="99"/>
    <w:semiHidden/>
    <w:unhideWhenUsed/>
  </w:style>
  <w:style w:type="character" w:styleId="742" w:customStyle="1">
    <w:name w:val="Heading 3 Char"/>
    <w:basedOn w:val="739"/>
    <w:uiPriority w:val="9"/>
    <w:rPr>
      <w:rFonts w:ascii="Arial" w:hAnsi="Arial" w:eastAsia="Arial" w:cs="Arial"/>
      <w:sz w:val="30"/>
      <w:szCs w:val="30"/>
    </w:rPr>
  </w:style>
  <w:style w:type="character" w:styleId="743" w:customStyle="1">
    <w:name w:val="Heading 4 Char"/>
    <w:basedOn w:val="739"/>
    <w:uiPriority w:val="9"/>
    <w:rPr>
      <w:rFonts w:ascii="Arial" w:hAnsi="Arial" w:eastAsia="Arial" w:cs="Arial"/>
      <w:b/>
      <w:bCs/>
      <w:sz w:val="26"/>
      <w:szCs w:val="26"/>
    </w:rPr>
  </w:style>
  <w:style w:type="character" w:styleId="744" w:customStyle="1">
    <w:name w:val="Heading 5 Char"/>
    <w:basedOn w:val="739"/>
    <w:uiPriority w:val="9"/>
    <w:rPr>
      <w:rFonts w:ascii="Arial" w:hAnsi="Arial" w:eastAsia="Arial" w:cs="Arial"/>
      <w:b/>
      <w:bCs/>
      <w:sz w:val="24"/>
      <w:szCs w:val="24"/>
    </w:rPr>
  </w:style>
  <w:style w:type="character" w:styleId="745" w:customStyle="1">
    <w:name w:val="Heading 6 Char"/>
    <w:basedOn w:val="739"/>
    <w:uiPriority w:val="9"/>
    <w:rPr>
      <w:rFonts w:ascii="Arial" w:hAnsi="Arial" w:eastAsia="Arial" w:cs="Arial"/>
      <w:b/>
      <w:bCs/>
      <w:sz w:val="22"/>
      <w:szCs w:val="22"/>
    </w:rPr>
  </w:style>
  <w:style w:type="character" w:styleId="746" w:customStyle="1">
    <w:name w:val="Heading 7 Char"/>
    <w:basedOn w:val="73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47" w:customStyle="1">
    <w:name w:val="Heading 8 Char"/>
    <w:basedOn w:val="739"/>
    <w:uiPriority w:val="9"/>
    <w:rPr>
      <w:rFonts w:ascii="Arial" w:hAnsi="Arial" w:eastAsia="Arial" w:cs="Arial"/>
      <w:i/>
      <w:iCs/>
      <w:sz w:val="22"/>
      <w:szCs w:val="22"/>
    </w:rPr>
  </w:style>
  <w:style w:type="character" w:styleId="748" w:customStyle="1">
    <w:name w:val="Heading 9 Char"/>
    <w:basedOn w:val="739"/>
    <w:uiPriority w:val="9"/>
    <w:rPr>
      <w:rFonts w:ascii="Arial" w:hAnsi="Arial" w:eastAsia="Arial" w:cs="Arial"/>
      <w:i/>
      <w:iCs/>
      <w:sz w:val="21"/>
      <w:szCs w:val="21"/>
    </w:rPr>
  </w:style>
  <w:style w:type="character" w:styleId="749" w:customStyle="1">
    <w:name w:val="Title Char"/>
    <w:basedOn w:val="739"/>
    <w:uiPriority w:val="10"/>
    <w:rPr>
      <w:sz w:val="48"/>
      <w:szCs w:val="48"/>
    </w:rPr>
  </w:style>
  <w:style w:type="character" w:styleId="750" w:customStyle="1">
    <w:name w:val="Subtitle Char"/>
    <w:basedOn w:val="739"/>
    <w:uiPriority w:val="11"/>
    <w:rPr>
      <w:sz w:val="24"/>
      <w:szCs w:val="24"/>
    </w:rPr>
  </w:style>
  <w:style w:type="character" w:styleId="751" w:customStyle="1">
    <w:name w:val="Quote Char"/>
    <w:uiPriority w:val="29"/>
    <w:rPr>
      <w:i/>
    </w:rPr>
  </w:style>
  <w:style w:type="character" w:styleId="752" w:customStyle="1">
    <w:name w:val="Intense Quote Char"/>
    <w:uiPriority w:val="30"/>
    <w:rPr>
      <w:i/>
    </w:rPr>
  </w:style>
  <w:style w:type="character" w:styleId="753" w:customStyle="1">
    <w:name w:val="Footnote Text Char"/>
    <w:uiPriority w:val="99"/>
    <w:rPr>
      <w:sz w:val="18"/>
    </w:rPr>
  </w:style>
  <w:style w:type="character" w:styleId="754" w:customStyle="1">
    <w:name w:val="Endnote Text Char"/>
    <w:uiPriority w:val="99"/>
    <w:rPr>
      <w:sz w:val="20"/>
    </w:rPr>
  </w:style>
  <w:style w:type="character" w:styleId="755" w:customStyle="1">
    <w:name w:val="Heading 1 Char"/>
    <w:basedOn w:val="739"/>
    <w:uiPriority w:val="9"/>
    <w:rPr>
      <w:rFonts w:ascii="Arial" w:hAnsi="Arial" w:eastAsia="Arial" w:cs="Arial"/>
      <w:sz w:val="40"/>
      <w:szCs w:val="40"/>
    </w:rPr>
  </w:style>
  <w:style w:type="character" w:styleId="756" w:customStyle="1">
    <w:name w:val="Heading 2 Char"/>
    <w:basedOn w:val="739"/>
    <w:uiPriority w:val="9"/>
    <w:rPr>
      <w:rFonts w:ascii="Arial" w:hAnsi="Arial" w:eastAsia="Arial" w:cs="Arial"/>
      <w:sz w:val="34"/>
    </w:rPr>
  </w:style>
  <w:style w:type="character" w:styleId="757" w:customStyle="1">
    <w:name w:val="Заголовок 3 Знак"/>
    <w:basedOn w:val="739"/>
    <w:link w:val="732"/>
    <w:uiPriority w:val="9"/>
    <w:rPr>
      <w:rFonts w:ascii="Arial" w:hAnsi="Arial" w:eastAsia="Arial" w:cs="Arial"/>
      <w:sz w:val="30"/>
      <w:szCs w:val="30"/>
    </w:rPr>
  </w:style>
  <w:style w:type="character" w:styleId="758" w:customStyle="1">
    <w:name w:val="Заголовок 4 Знак"/>
    <w:basedOn w:val="739"/>
    <w:link w:val="733"/>
    <w:uiPriority w:val="9"/>
    <w:rPr>
      <w:rFonts w:ascii="Arial" w:hAnsi="Arial" w:eastAsia="Arial" w:cs="Arial"/>
      <w:b/>
      <w:bCs/>
      <w:sz w:val="26"/>
      <w:szCs w:val="26"/>
    </w:rPr>
  </w:style>
  <w:style w:type="character" w:styleId="759" w:customStyle="1">
    <w:name w:val="Заголовок 5 Знак"/>
    <w:basedOn w:val="739"/>
    <w:link w:val="734"/>
    <w:uiPriority w:val="9"/>
    <w:rPr>
      <w:rFonts w:ascii="Arial" w:hAnsi="Arial" w:eastAsia="Arial" w:cs="Arial"/>
      <w:b/>
      <w:bCs/>
      <w:sz w:val="24"/>
      <w:szCs w:val="24"/>
    </w:rPr>
  </w:style>
  <w:style w:type="character" w:styleId="760" w:customStyle="1">
    <w:name w:val="Заголовок 6 Знак"/>
    <w:basedOn w:val="739"/>
    <w:link w:val="735"/>
    <w:uiPriority w:val="9"/>
    <w:rPr>
      <w:rFonts w:ascii="Arial" w:hAnsi="Arial" w:eastAsia="Arial" w:cs="Arial"/>
      <w:b/>
      <w:bCs/>
      <w:sz w:val="22"/>
      <w:szCs w:val="22"/>
    </w:rPr>
  </w:style>
  <w:style w:type="character" w:styleId="761" w:customStyle="1">
    <w:name w:val="Заголовок 7 Знак"/>
    <w:basedOn w:val="739"/>
    <w:link w:val="73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2" w:customStyle="1">
    <w:name w:val="Заголовок 8 Знак"/>
    <w:basedOn w:val="739"/>
    <w:link w:val="737"/>
    <w:uiPriority w:val="9"/>
    <w:rPr>
      <w:rFonts w:ascii="Arial" w:hAnsi="Arial" w:eastAsia="Arial" w:cs="Arial"/>
      <w:i/>
      <w:iCs/>
      <w:sz w:val="22"/>
      <w:szCs w:val="22"/>
    </w:rPr>
  </w:style>
  <w:style w:type="character" w:styleId="763" w:customStyle="1">
    <w:name w:val="Заголовок 9 Знак"/>
    <w:basedOn w:val="739"/>
    <w:link w:val="738"/>
    <w:uiPriority w:val="9"/>
    <w:rPr>
      <w:rFonts w:ascii="Arial" w:hAnsi="Arial" w:eastAsia="Arial" w:cs="Arial"/>
      <w:i/>
      <w:iCs/>
      <w:sz w:val="21"/>
      <w:szCs w:val="21"/>
    </w:rPr>
  </w:style>
  <w:style w:type="paragraph" w:styleId="764">
    <w:name w:val="Title"/>
    <w:basedOn w:val="729"/>
    <w:next w:val="729"/>
    <w:link w:val="76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65" w:customStyle="1">
    <w:name w:val="Название Знак"/>
    <w:basedOn w:val="739"/>
    <w:link w:val="764"/>
    <w:uiPriority w:val="10"/>
    <w:rPr>
      <w:sz w:val="48"/>
      <w:szCs w:val="48"/>
    </w:rPr>
  </w:style>
  <w:style w:type="paragraph" w:styleId="766">
    <w:name w:val="Subtitle"/>
    <w:basedOn w:val="729"/>
    <w:next w:val="729"/>
    <w:link w:val="767"/>
    <w:uiPriority w:val="11"/>
    <w:qFormat/>
    <w:pPr>
      <w:spacing w:before="200" w:after="200"/>
    </w:pPr>
    <w:rPr>
      <w:sz w:val="24"/>
      <w:szCs w:val="24"/>
    </w:rPr>
  </w:style>
  <w:style w:type="character" w:styleId="767" w:customStyle="1">
    <w:name w:val="Подзаголовок Знак"/>
    <w:basedOn w:val="739"/>
    <w:link w:val="766"/>
    <w:uiPriority w:val="11"/>
    <w:rPr>
      <w:sz w:val="24"/>
      <w:szCs w:val="24"/>
    </w:rPr>
  </w:style>
  <w:style w:type="paragraph" w:styleId="768">
    <w:name w:val="Quote"/>
    <w:basedOn w:val="729"/>
    <w:next w:val="729"/>
    <w:link w:val="769"/>
    <w:uiPriority w:val="29"/>
    <w:qFormat/>
    <w:pPr>
      <w:ind w:left="720" w:right="720"/>
    </w:pPr>
    <w:rPr>
      <w:i/>
    </w:rPr>
  </w:style>
  <w:style w:type="character" w:styleId="769" w:customStyle="1">
    <w:name w:val="Цитата 2 Знак"/>
    <w:link w:val="768"/>
    <w:uiPriority w:val="29"/>
    <w:rPr>
      <w:i/>
    </w:rPr>
  </w:style>
  <w:style w:type="paragraph" w:styleId="770">
    <w:name w:val="Intense Quote"/>
    <w:basedOn w:val="729"/>
    <w:next w:val="729"/>
    <w:link w:val="77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1" w:customStyle="1">
    <w:name w:val="Выделенная цитата Знак"/>
    <w:link w:val="770"/>
    <w:uiPriority w:val="30"/>
    <w:rPr>
      <w:i/>
    </w:rPr>
  </w:style>
  <w:style w:type="character" w:styleId="772" w:customStyle="1">
    <w:name w:val="Header Char"/>
    <w:basedOn w:val="739"/>
    <w:uiPriority w:val="99"/>
  </w:style>
  <w:style w:type="character" w:styleId="773" w:customStyle="1">
    <w:name w:val="Footer Char"/>
    <w:basedOn w:val="739"/>
    <w:uiPriority w:val="99"/>
  </w:style>
  <w:style w:type="character" w:styleId="774" w:customStyle="1">
    <w:name w:val="Caption Char"/>
    <w:uiPriority w:val="99"/>
  </w:style>
  <w:style w:type="table" w:styleId="775" w:customStyle="1">
    <w:name w:val="Table Grid Light"/>
    <w:basedOn w:val="740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76" w:customStyle="1">
    <w:name w:val="Таблица простая 11"/>
    <w:basedOn w:val="740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7" w:customStyle="1">
    <w:name w:val="Таблица простая 21"/>
    <w:basedOn w:val="740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8" w:customStyle="1">
    <w:name w:val="Таблица простая 31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79" w:customStyle="1">
    <w:name w:val="Таблица простая 41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Таблица простая 51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1" w:customStyle="1">
    <w:name w:val="Таблица-сетка 1 светл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Grid Table 1 Light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Grid Table 1 Light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Grid Table 1 Light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Grid Table 1 Light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Grid Table 1 Light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Grid Table 1 Light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Таблица-сетка 2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 w:customStyle="1">
    <w:name w:val="Grid Table 2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 w:customStyle="1">
    <w:name w:val="Grid Table 2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 w:customStyle="1">
    <w:name w:val="Grid Table 2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 w:customStyle="1">
    <w:name w:val="Grid Table 2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 w:customStyle="1">
    <w:name w:val="Grid Table 2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 w:customStyle="1">
    <w:name w:val="Grid Table 2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 w:customStyle="1">
    <w:name w:val="Таблица-сетка 3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Grid Table 3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Grid Table 3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Grid Table 3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3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Grid Table 3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Grid Table 3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Таблица-сетка 41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3" w:customStyle="1">
    <w:name w:val="Grid Table 4 - Accent 1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804" w:customStyle="1">
    <w:name w:val="Grid Table 4 - Accent 2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805" w:customStyle="1">
    <w:name w:val="Grid Table 4 - Accent 3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806" w:customStyle="1">
    <w:name w:val="Grid Table 4 - Accent 4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807" w:customStyle="1">
    <w:name w:val="Grid Table 4 - Accent 5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808" w:customStyle="1">
    <w:name w:val="Grid Table 4 - Accent 6"/>
    <w:basedOn w:val="740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809" w:customStyle="1">
    <w:name w:val="Таблица-сетка 5 темн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10" w:customStyle="1">
    <w:name w:val="Grid Table 5 Dark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811" w:customStyle="1">
    <w:name w:val="Grid Table 5 Dark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812" w:customStyle="1">
    <w:name w:val="Grid Table 5 Dark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813" w:customStyle="1">
    <w:name w:val="Grid Table 5 Dark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814" w:customStyle="1">
    <w:name w:val="Grid Table 5 Dark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815" w:customStyle="1">
    <w:name w:val="Grid Table 5 Dark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816" w:customStyle="1">
    <w:name w:val="Таблица-сетка 6 цветн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17" w:customStyle="1">
    <w:name w:val="Grid Table 6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818" w:customStyle="1">
    <w:name w:val="Grid Table 6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819" w:customStyle="1">
    <w:name w:val="Grid Table 6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820" w:customStyle="1">
    <w:name w:val="Grid Table 6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821" w:customStyle="1">
    <w:name w:val="Grid Table 6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822" w:customStyle="1">
    <w:name w:val="Grid Table 6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823" w:customStyle="1">
    <w:name w:val="Таблица-сетка 7 цветн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 w:customStyle="1">
    <w:name w:val="Grid Table 7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 w:customStyle="1">
    <w:name w:val="Grid Table 7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Grid Table 7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 w:customStyle="1">
    <w:name w:val="Grid Table 7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 w:customStyle="1">
    <w:name w:val="Grid Table 7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 w:customStyle="1">
    <w:name w:val="Grid Table 7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 w:customStyle="1">
    <w:name w:val="Список-таблица 1 светлая1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 w:customStyle="1">
    <w:name w:val="List Table 1 Light - Accent 1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 w:customStyle="1">
    <w:name w:val="List Table 1 Light - Accent 2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 w:customStyle="1">
    <w:name w:val="List Table 1 Light - Accent 3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 w:customStyle="1">
    <w:name w:val="List Table 1 Light - Accent 4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 w:customStyle="1">
    <w:name w:val="List Table 1 Light - Accent 5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 w:customStyle="1">
    <w:name w:val="List Table 1 Light - Accent 6"/>
    <w:basedOn w:val="74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Список-таблица 2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38" w:customStyle="1">
    <w:name w:val="List Table 2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839" w:customStyle="1">
    <w:name w:val="List Table 2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840" w:customStyle="1">
    <w:name w:val="List Table 2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841" w:customStyle="1">
    <w:name w:val="List Table 2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842" w:customStyle="1">
    <w:name w:val="List Table 2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843" w:customStyle="1">
    <w:name w:val="List Table 2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844" w:customStyle="1">
    <w:name w:val="Список-таблица 3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 w:customStyle="1">
    <w:name w:val="List Table 3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 w:customStyle="1">
    <w:name w:val="List Table 3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 w:customStyle="1">
    <w:name w:val="List Table 3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 w:customStyle="1">
    <w:name w:val="List Table 3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 w:customStyle="1">
    <w:name w:val="List Table 3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 w:customStyle="1">
    <w:name w:val="List Table 3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 w:customStyle="1">
    <w:name w:val="Список-таблица 4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 w:customStyle="1">
    <w:name w:val="List Table 4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 w:customStyle="1">
    <w:name w:val="List Table 4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 w:customStyle="1">
    <w:name w:val="List Table 4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 w:customStyle="1">
    <w:name w:val="List Table 4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 w:customStyle="1">
    <w:name w:val="List Table 4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 w:customStyle="1">
    <w:name w:val="List Table 4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 w:customStyle="1">
    <w:name w:val="Список-таблица 5 темн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9" w:customStyle="1">
    <w:name w:val="List Table 5 Dark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0" w:customStyle="1">
    <w:name w:val="List Table 5 Dark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1" w:customStyle="1">
    <w:name w:val="List Table 5 Dark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2" w:customStyle="1">
    <w:name w:val="List Table 5 Dark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3" w:customStyle="1">
    <w:name w:val="List Table 5 Dark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4" w:customStyle="1">
    <w:name w:val="List Table 5 Dark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5" w:customStyle="1">
    <w:name w:val="Список-таблица 6 цветн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66" w:customStyle="1">
    <w:name w:val="List Table 6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67" w:customStyle="1">
    <w:name w:val="List Table 6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68" w:customStyle="1">
    <w:name w:val="List Table 6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69" w:customStyle="1">
    <w:name w:val="List Table 6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70" w:customStyle="1">
    <w:name w:val="List Table 6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71" w:customStyle="1">
    <w:name w:val="List Table 6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72" w:customStyle="1">
    <w:name w:val="Список-таблица 7 цветная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 w:customStyle="1">
    <w:name w:val="List Table 7 Colorful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 w:customStyle="1">
    <w:name w:val="List Table 7 Colorful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5" w:customStyle="1">
    <w:name w:val="List Table 7 Colorful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6" w:customStyle="1">
    <w:name w:val="List Table 7 Colorful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7" w:customStyle="1">
    <w:name w:val="List Table 7 Colorful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8" w:customStyle="1">
    <w:name w:val="List Table 7 Colorful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9" w:customStyle="1">
    <w:name w:val="Lined - Accent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80" w:customStyle="1">
    <w:name w:val="Lined - Accent 1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81" w:customStyle="1">
    <w:name w:val="Lined - Accent 2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82" w:customStyle="1">
    <w:name w:val="Lined - Accent 3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83" w:customStyle="1">
    <w:name w:val="Lined - Accent 4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84" w:customStyle="1">
    <w:name w:val="Lined - Accent 5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85" w:customStyle="1">
    <w:name w:val="Lined - Accent 6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86" w:customStyle="1">
    <w:name w:val="Bordered &amp; Lined - Accent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87" w:customStyle="1">
    <w:name w:val="Bordered &amp; Lined - Accent 1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88" w:customStyle="1">
    <w:name w:val="Bordered &amp; Lined - Accent 2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89" w:customStyle="1">
    <w:name w:val="Bordered &amp; Lined - Accent 3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90" w:customStyle="1">
    <w:name w:val="Bordered &amp; Lined - Accent 4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91" w:customStyle="1">
    <w:name w:val="Bordered &amp; Lined - Accent 5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92" w:customStyle="1">
    <w:name w:val="Bordered &amp; Lined - Accent 6"/>
    <w:basedOn w:val="74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93" w:customStyle="1">
    <w:name w:val="Bordered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94" w:customStyle="1">
    <w:name w:val="Bordered - Accent 1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95" w:customStyle="1">
    <w:name w:val="Bordered - Accent 2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96" w:customStyle="1">
    <w:name w:val="Bordered - Accent 3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97" w:customStyle="1">
    <w:name w:val="Bordered - Accent 4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98" w:customStyle="1">
    <w:name w:val="Bordered - Accent 5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99" w:customStyle="1">
    <w:name w:val="Bordered - Accent 6"/>
    <w:basedOn w:val="74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paragraph" w:styleId="900">
    <w:name w:val="footnote text"/>
    <w:basedOn w:val="729"/>
    <w:link w:val="901"/>
    <w:uiPriority w:val="99"/>
    <w:semiHidden/>
    <w:unhideWhenUsed/>
    <w:pPr>
      <w:spacing w:after="40"/>
    </w:pPr>
    <w:rPr>
      <w:sz w:val="18"/>
    </w:rPr>
  </w:style>
  <w:style w:type="character" w:styleId="901" w:customStyle="1">
    <w:name w:val="Текст сноски Знак"/>
    <w:link w:val="900"/>
    <w:uiPriority w:val="99"/>
    <w:rPr>
      <w:sz w:val="18"/>
    </w:rPr>
  </w:style>
  <w:style w:type="character" w:styleId="902">
    <w:name w:val="footnote reference"/>
    <w:basedOn w:val="739"/>
    <w:uiPriority w:val="99"/>
    <w:unhideWhenUsed/>
    <w:rPr>
      <w:vertAlign w:val="superscript"/>
    </w:rPr>
  </w:style>
  <w:style w:type="paragraph" w:styleId="903">
    <w:name w:val="endnote text"/>
    <w:basedOn w:val="729"/>
    <w:link w:val="904"/>
    <w:uiPriority w:val="99"/>
    <w:semiHidden/>
    <w:unhideWhenUsed/>
  </w:style>
  <w:style w:type="character" w:styleId="904" w:customStyle="1">
    <w:name w:val="Текст концевой сноски Знак"/>
    <w:link w:val="903"/>
    <w:uiPriority w:val="99"/>
    <w:rPr>
      <w:sz w:val="20"/>
    </w:rPr>
  </w:style>
  <w:style w:type="character" w:styleId="905">
    <w:name w:val="endnote reference"/>
    <w:basedOn w:val="739"/>
    <w:uiPriority w:val="99"/>
    <w:semiHidden/>
    <w:unhideWhenUsed/>
    <w:rPr>
      <w:vertAlign w:val="superscript"/>
    </w:rPr>
  </w:style>
  <w:style w:type="paragraph" w:styleId="906">
    <w:name w:val="toc 1"/>
    <w:basedOn w:val="729"/>
    <w:next w:val="729"/>
    <w:uiPriority w:val="39"/>
    <w:unhideWhenUsed/>
    <w:pPr>
      <w:spacing w:after="57"/>
    </w:pPr>
  </w:style>
  <w:style w:type="paragraph" w:styleId="907">
    <w:name w:val="toc 2"/>
    <w:basedOn w:val="729"/>
    <w:next w:val="729"/>
    <w:uiPriority w:val="39"/>
    <w:unhideWhenUsed/>
    <w:pPr>
      <w:ind w:left="283"/>
      <w:spacing w:after="57"/>
    </w:pPr>
  </w:style>
  <w:style w:type="paragraph" w:styleId="908">
    <w:name w:val="toc 3"/>
    <w:basedOn w:val="729"/>
    <w:next w:val="729"/>
    <w:uiPriority w:val="39"/>
    <w:unhideWhenUsed/>
    <w:pPr>
      <w:ind w:left="567"/>
      <w:spacing w:after="57"/>
    </w:pPr>
  </w:style>
  <w:style w:type="paragraph" w:styleId="909">
    <w:name w:val="toc 4"/>
    <w:basedOn w:val="729"/>
    <w:next w:val="729"/>
    <w:uiPriority w:val="39"/>
    <w:unhideWhenUsed/>
    <w:pPr>
      <w:ind w:left="850"/>
      <w:spacing w:after="57"/>
    </w:pPr>
  </w:style>
  <w:style w:type="paragraph" w:styleId="910">
    <w:name w:val="toc 5"/>
    <w:basedOn w:val="729"/>
    <w:next w:val="729"/>
    <w:uiPriority w:val="39"/>
    <w:unhideWhenUsed/>
    <w:pPr>
      <w:ind w:left="1134"/>
      <w:spacing w:after="57"/>
    </w:pPr>
  </w:style>
  <w:style w:type="paragraph" w:styleId="911">
    <w:name w:val="toc 6"/>
    <w:basedOn w:val="729"/>
    <w:next w:val="729"/>
    <w:uiPriority w:val="39"/>
    <w:unhideWhenUsed/>
    <w:pPr>
      <w:ind w:left="1417"/>
      <w:spacing w:after="57"/>
    </w:pPr>
  </w:style>
  <w:style w:type="paragraph" w:styleId="912">
    <w:name w:val="toc 7"/>
    <w:basedOn w:val="729"/>
    <w:next w:val="729"/>
    <w:uiPriority w:val="39"/>
    <w:unhideWhenUsed/>
    <w:pPr>
      <w:ind w:left="1701"/>
      <w:spacing w:after="57"/>
    </w:pPr>
  </w:style>
  <w:style w:type="paragraph" w:styleId="913">
    <w:name w:val="toc 8"/>
    <w:basedOn w:val="729"/>
    <w:next w:val="729"/>
    <w:uiPriority w:val="39"/>
    <w:unhideWhenUsed/>
    <w:pPr>
      <w:ind w:left="1984"/>
      <w:spacing w:after="57"/>
    </w:pPr>
  </w:style>
  <w:style w:type="paragraph" w:styleId="914">
    <w:name w:val="toc 9"/>
    <w:basedOn w:val="729"/>
    <w:next w:val="729"/>
    <w:uiPriority w:val="39"/>
    <w:unhideWhenUsed/>
    <w:pPr>
      <w:ind w:left="2268"/>
      <w:spacing w:after="57"/>
    </w:pPr>
  </w:style>
  <w:style w:type="paragraph" w:styleId="915">
    <w:name w:val="TOC Heading"/>
    <w:uiPriority w:val="39"/>
    <w:unhideWhenUsed/>
  </w:style>
  <w:style w:type="paragraph" w:styleId="916">
    <w:name w:val="table of figures"/>
    <w:basedOn w:val="729"/>
    <w:next w:val="729"/>
    <w:uiPriority w:val="99"/>
    <w:unhideWhenUsed/>
  </w:style>
  <w:style w:type="paragraph" w:styleId="917" w:customStyle="1">
    <w:name w:val="ConsPlusNormal"/>
    <w:link w:val="952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918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19" w:customStyle="1">
    <w:name w:val="ConsPlusTitle"/>
    <w:link w:val="966"/>
    <w:pPr>
      <w:spacing w:after="0" w:line="240" w:lineRule="auto"/>
      <w:widowControl w:val="off"/>
    </w:pPr>
    <w:rPr>
      <w:rFonts w:ascii="Calibri" w:hAnsi="Calibri" w:eastAsia="Times New Roman" w:cs="Calibri"/>
      <w:b/>
      <w:szCs w:val="20"/>
      <w:lang w:eastAsia="ru-RU"/>
    </w:rPr>
  </w:style>
  <w:style w:type="paragraph" w:styleId="920" w:customStyle="1">
    <w:name w:val="ConsPlusCell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21" w:customStyle="1">
    <w:name w:val="ConsPlusDocList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922" w:customStyle="1">
    <w:name w:val="ConsPlusTitlePage"/>
    <w:pPr>
      <w:spacing w:after="0" w:line="240" w:lineRule="auto"/>
      <w:widowControl w:val="off"/>
    </w:pPr>
    <w:rPr>
      <w:rFonts w:ascii="Tahoma" w:hAnsi="Tahoma" w:eastAsia="Times New Roman" w:cs="Tahoma"/>
      <w:sz w:val="20"/>
      <w:szCs w:val="20"/>
      <w:lang w:eastAsia="ru-RU"/>
    </w:rPr>
  </w:style>
  <w:style w:type="paragraph" w:styleId="923" w:customStyle="1">
    <w:name w:val="ConsPlusJurTerm"/>
    <w:pPr>
      <w:spacing w:after="0" w:line="240" w:lineRule="auto"/>
      <w:widowControl w:val="off"/>
    </w:pPr>
    <w:rPr>
      <w:rFonts w:ascii="Tahoma" w:hAnsi="Tahoma" w:eastAsia="Times New Roman" w:cs="Tahoma"/>
      <w:sz w:val="26"/>
      <w:szCs w:val="20"/>
      <w:lang w:eastAsia="ru-RU"/>
    </w:rPr>
  </w:style>
  <w:style w:type="paragraph" w:styleId="924" w:customStyle="1">
    <w:name w:val="ConsPlusTextList"/>
    <w:pPr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character" w:styleId="925" w:customStyle="1">
    <w:name w:val="Заголовок 1 Знак"/>
    <w:basedOn w:val="739"/>
    <w:link w:val="730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926" w:customStyle="1">
    <w:name w:val="Заголовок 2 Знак"/>
    <w:basedOn w:val="739"/>
    <w:link w:val="731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927">
    <w:name w:val="Caption"/>
    <w:basedOn w:val="729"/>
    <w:next w:val="729"/>
    <w:qFormat/>
    <w:pPr>
      <w:jc w:val="center"/>
      <w:spacing w:line="360" w:lineRule="exact"/>
      <w:widowControl w:val="off"/>
    </w:pPr>
    <w:rPr>
      <w:b/>
      <w:sz w:val="32"/>
    </w:rPr>
  </w:style>
  <w:style w:type="paragraph" w:styleId="928">
    <w:name w:val="Body Text"/>
    <w:basedOn w:val="729"/>
    <w:link w:val="929"/>
    <w:pPr>
      <w:ind w:right="3117"/>
    </w:pPr>
    <w:rPr>
      <w:rFonts w:ascii="Courier New" w:hAnsi="Courier New"/>
      <w:sz w:val="26"/>
    </w:rPr>
  </w:style>
  <w:style w:type="character" w:styleId="929" w:customStyle="1">
    <w:name w:val="Основной текст Знак"/>
    <w:basedOn w:val="739"/>
    <w:link w:val="928"/>
    <w:rPr>
      <w:rFonts w:ascii="Courier New" w:hAnsi="Courier New" w:eastAsia="Times New Roman" w:cs="Times New Roman"/>
      <w:sz w:val="26"/>
      <w:szCs w:val="20"/>
      <w:lang w:eastAsia="ru-RU"/>
    </w:rPr>
  </w:style>
  <w:style w:type="paragraph" w:styleId="930">
    <w:name w:val="Body Text Indent"/>
    <w:basedOn w:val="729"/>
    <w:link w:val="931"/>
    <w:pPr>
      <w:ind w:right="-1"/>
      <w:jc w:val="both"/>
    </w:pPr>
    <w:rPr>
      <w:sz w:val="26"/>
    </w:rPr>
  </w:style>
  <w:style w:type="character" w:styleId="931" w:customStyle="1">
    <w:name w:val="Основной текст с отступом Знак"/>
    <w:basedOn w:val="739"/>
    <w:link w:val="930"/>
    <w:rPr>
      <w:rFonts w:ascii="Times New Roman" w:hAnsi="Times New Roman" w:eastAsia="Times New Roman" w:cs="Times New Roman"/>
      <w:sz w:val="26"/>
      <w:szCs w:val="20"/>
      <w:lang w:eastAsia="ru-RU"/>
    </w:rPr>
  </w:style>
  <w:style w:type="paragraph" w:styleId="932">
    <w:name w:val="Footer"/>
    <w:basedOn w:val="729"/>
    <w:link w:val="933"/>
    <w:pPr>
      <w:tabs>
        <w:tab w:val="center" w:pos="4153" w:leader="none"/>
        <w:tab w:val="right" w:pos="8306" w:leader="none"/>
      </w:tabs>
    </w:pPr>
  </w:style>
  <w:style w:type="character" w:styleId="933" w:customStyle="1">
    <w:name w:val="Нижний колонтитул Знак"/>
    <w:basedOn w:val="739"/>
    <w:link w:val="932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934">
    <w:name w:val="page number"/>
    <w:basedOn w:val="739"/>
  </w:style>
  <w:style w:type="paragraph" w:styleId="935">
    <w:name w:val="Header"/>
    <w:basedOn w:val="729"/>
    <w:link w:val="936"/>
    <w:uiPriority w:val="99"/>
    <w:pPr>
      <w:tabs>
        <w:tab w:val="center" w:pos="4153" w:leader="none"/>
        <w:tab w:val="right" w:pos="8306" w:leader="none"/>
      </w:tabs>
    </w:pPr>
  </w:style>
  <w:style w:type="character" w:styleId="936" w:customStyle="1">
    <w:name w:val="Верхний колонтитул Знак"/>
    <w:basedOn w:val="739"/>
    <w:link w:val="935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37">
    <w:name w:val="Balloon Text"/>
    <w:basedOn w:val="729"/>
    <w:link w:val="938"/>
    <w:uiPriority w:val="99"/>
    <w:rPr>
      <w:rFonts w:ascii="Segoe UI" w:hAnsi="Segoe UI" w:cs="Segoe UI"/>
      <w:sz w:val="18"/>
      <w:szCs w:val="18"/>
    </w:rPr>
  </w:style>
  <w:style w:type="character" w:styleId="938" w:customStyle="1">
    <w:name w:val="Текст выноски Знак"/>
    <w:basedOn w:val="739"/>
    <w:link w:val="937"/>
    <w:uiPriority w:val="99"/>
    <w:rPr>
      <w:rFonts w:ascii="Segoe UI" w:hAnsi="Segoe UI" w:eastAsia="Times New Roman" w:cs="Segoe UI"/>
      <w:sz w:val="18"/>
      <w:szCs w:val="18"/>
      <w:lang w:eastAsia="ru-RU"/>
    </w:rPr>
  </w:style>
  <w:style w:type="paragraph" w:styleId="939" w:customStyle="1">
    <w:name w:val="Форма"/>
    <w:pPr>
      <w:spacing w:after="0" w:line="240" w:lineRule="auto"/>
    </w:pPr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940" w:customStyle="1">
    <w:name w:val="Приложение"/>
    <w:basedOn w:val="928"/>
    <w:pPr>
      <w:ind w:left="1985" w:right="0" w:hanging="1985"/>
      <w:jc w:val="both"/>
      <w:spacing w:before="240" w:line="240" w:lineRule="exact"/>
      <w:tabs>
        <w:tab w:val="left" w:pos="1673" w:leader="none"/>
      </w:tabs>
    </w:pPr>
    <w:rPr>
      <w:rFonts w:ascii="Times New Roman" w:hAnsi="Times New Roman"/>
      <w:sz w:val="28"/>
    </w:rPr>
  </w:style>
  <w:style w:type="paragraph" w:styleId="941" w:customStyle="1">
    <w:name w:val="Подпись на  бланке должностного лица"/>
    <w:basedOn w:val="729"/>
    <w:next w:val="928"/>
    <w:pPr>
      <w:ind w:left="7088"/>
      <w:spacing w:before="480" w:line="240" w:lineRule="exact"/>
    </w:pPr>
    <w:rPr>
      <w:sz w:val="28"/>
    </w:rPr>
  </w:style>
  <w:style w:type="paragraph" w:styleId="942">
    <w:name w:val="Signature"/>
    <w:basedOn w:val="729"/>
    <w:next w:val="928"/>
    <w:link w:val="943"/>
    <w:pPr>
      <w:spacing w:before="480" w:line="240" w:lineRule="exact"/>
      <w:tabs>
        <w:tab w:val="left" w:pos="5103" w:leader="none"/>
        <w:tab w:val="right" w:pos="9639" w:leader="none"/>
      </w:tabs>
    </w:pPr>
    <w:rPr>
      <w:sz w:val="28"/>
    </w:rPr>
  </w:style>
  <w:style w:type="character" w:styleId="943" w:customStyle="1">
    <w:name w:val="Подпись Знак"/>
    <w:basedOn w:val="739"/>
    <w:link w:val="942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944">
    <w:name w:val="annotation reference"/>
    <w:uiPriority w:val="99"/>
    <w:unhideWhenUsed/>
    <w:rPr>
      <w:sz w:val="16"/>
      <w:szCs w:val="16"/>
    </w:rPr>
  </w:style>
  <w:style w:type="paragraph" w:styleId="945" w:customStyle="1">
    <w:name w:val="Текст примечания1"/>
    <w:basedOn w:val="729"/>
    <w:next w:val="947"/>
    <w:link w:val="946"/>
    <w:uiPriority w:val="99"/>
    <w:semiHidden/>
    <w:unhideWhenUsed/>
    <w:pPr>
      <w:spacing w:after="160"/>
    </w:pPr>
  </w:style>
  <w:style w:type="character" w:styleId="946" w:customStyle="1">
    <w:name w:val="Текст примечания Знак"/>
    <w:link w:val="945"/>
    <w:uiPriority w:val="99"/>
    <w:semiHidden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47">
    <w:name w:val="annotation text"/>
    <w:basedOn w:val="729"/>
    <w:link w:val="948"/>
    <w:pPr>
      <w:ind w:firstLine="720"/>
      <w:jc w:val="both"/>
    </w:pPr>
  </w:style>
  <w:style w:type="character" w:styleId="948" w:customStyle="1">
    <w:name w:val="Текст примечания Знак1"/>
    <w:basedOn w:val="739"/>
    <w:link w:val="947"/>
    <w:rPr>
      <w:rFonts w:ascii="Times New Roman" w:hAnsi="Times New Roman" w:eastAsia="Times New Roman" w:cs="Times New Roman"/>
      <w:sz w:val="20"/>
      <w:szCs w:val="20"/>
      <w:lang w:eastAsia="ru-RU"/>
    </w:rPr>
  </w:style>
  <w:style w:type="table" w:styleId="949">
    <w:name w:val="Table Grid"/>
    <w:basedOn w:val="74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50">
    <w:name w:val="annotation subject"/>
    <w:basedOn w:val="947"/>
    <w:next w:val="947"/>
    <w:link w:val="951"/>
    <w:uiPriority w:val="99"/>
    <w:semiHidden/>
    <w:unhideWhenUsed/>
    <w:pPr>
      <w:ind w:firstLine="0"/>
      <w:jc w:val="left"/>
    </w:pPr>
    <w:rPr>
      <w:b/>
      <w:bCs/>
    </w:rPr>
  </w:style>
  <w:style w:type="character" w:styleId="951" w:customStyle="1">
    <w:name w:val="Тема примечания Знак"/>
    <w:basedOn w:val="948"/>
    <w:link w:val="950"/>
    <w:uiPriority w:val="99"/>
    <w:semiHidden/>
    <w:rPr>
      <w:rFonts w:ascii="Times New Roman" w:hAnsi="Times New Roman" w:eastAsia="Times New Roman" w:cs="Times New Roman"/>
      <w:b/>
      <w:bCs/>
      <w:sz w:val="20"/>
      <w:szCs w:val="20"/>
      <w:lang w:eastAsia="ru-RU"/>
    </w:rPr>
  </w:style>
  <w:style w:type="character" w:styleId="952" w:customStyle="1">
    <w:name w:val="ConsPlusNormal Знак"/>
    <w:link w:val="917"/>
    <w:rPr>
      <w:rFonts w:ascii="Calibri" w:hAnsi="Calibri" w:eastAsia="Times New Roman" w:cs="Calibri"/>
      <w:szCs w:val="20"/>
      <w:lang w:eastAsia="ru-RU"/>
    </w:rPr>
  </w:style>
  <w:style w:type="paragraph" w:styleId="953">
    <w:name w:val="List Paragraph"/>
    <w:basedOn w:val="729"/>
    <w:uiPriority w:val="34"/>
    <w:qFormat/>
    <w:pPr>
      <w:contextualSpacing/>
      <w:ind w:left="720"/>
    </w:pPr>
  </w:style>
  <w:style w:type="paragraph" w:styleId="954">
    <w:name w:val="Plain Text"/>
    <w:basedOn w:val="729"/>
    <w:link w:val="955"/>
    <w:uiPriority w:val="99"/>
    <w:semiHidden/>
    <w:unhideWhenUsed/>
    <w:rPr>
      <w:rFonts w:ascii="Calibri" w:hAnsi="Calibri" w:eastAsiaTheme="minorHAnsi" w:cstheme="minorBidi"/>
      <w:sz w:val="22"/>
      <w:szCs w:val="21"/>
      <w:lang w:eastAsia="en-US"/>
    </w:rPr>
  </w:style>
  <w:style w:type="character" w:styleId="955" w:customStyle="1">
    <w:name w:val="Текст Знак"/>
    <w:basedOn w:val="739"/>
    <w:link w:val="954"/>
    <w:uiPriority w:val="99"/>
    <w:semiHidden/>
    <w:rPr>
      <w:rFonts w:ascii="Calibri" w:hAnsi="Calibri"/>
      <w:szCs w:val="21"/>
    </w:rPr>
  </w:style>
  <w:style w:type="numbering" w:styleId="956" w:customStyle="1">
    <w:name w:val="Нет списка1"/>
    <w:next w:val="741"/>
    <w:uiPriority w:val="99"/>
    <w:semiHidden/>
    <w:unhideWhenUsed/>
  </w:style>
  <w:style w:type="numbering" w:styleId="957" w:customStyle="1">
    <w:name w:val="Нет списка2"/>
    <w:next w:val="741"/>
    <w:uiPriority w:val="99"/>
    <w:semiHidden/>
    <w:unhideWhenUsed/>
  </w:style>
  <w:style w:type="character" w:styleId="958">
    <w:name w:val="Hyperlink"/>
    <w:basedOn w:val="739"/>
    <w:uiPriority w:val="99"/>
    <w:semiHidden/>
    <w:unhideWhenUsed/>
    <w:rPr>
      <w:color w:val="0000ff"/>
      <w:u w:val="single"/>
    </w:rPr>
  </w:style>
  <w:style w:type="paragraph" w:styleId="959" w:customStyle="1">
    <w:name w:val="таймс 12"/>
    <w:basedOn w:val="917"/>
    <w:link w:val="961"/>
    <w:qFormat/>
    <w:pPr>
      <w:jc w:val="center"/>
    </w:pPr>
    <w:rPr>
      <w:rFonts w:ascii="Times New Roman" w:hAnsi="Times New Roman" w:cs="Times New Roman"/>
      <w:sz w:val="24"/>
    </w:rPr>
  </w:style>
  <w:style w:type="paragraph" w:styleId="960" w:customStyle="1">
    <w:name w:val="таймс 10"/>
    <w:basedOn w:val="917"/>
    <w:link w:val="962"/>
    <w:qFormat/>
    <w:pPr>
      <w:jc w:val="center"/>
    </w:pPr>
    <w:rPr>
      <w:rFonts w:ascii="Times New Roman" w:hAnsi="Times New Roman" w:cs="Times New Roman"/>
      <w:sz w:val="20"/>
    </w:rPr>
  </w:style>
  <w:style w:type="character" w:styleId="961" w:customStyle="1">
    <w:name w:val="таймс 12 Знак"/>
    <w:basedOn w:val="952"/>
    <w:link w:val="959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962" w:customStyle="1">
    <w:name w:val="таймс 10 Знак"/>
    <w:basedOn w:val="952"/>
    <w:link w:val="960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63" w:customStyle="1">
    <w:name w:val="таймс 12 по ширине"/>
    <w:basedOn w:val="729"/>
    <w:link w:val="964"/>
    <w:qFormat/>
    <w:pPr>
      <w:jc w:val="both"/>
      <w:spacing w:line="252" w:lineRule="auto"/>
    </w:pPr>
    <w:rPr>
      <w:rFonts w:eastAsiaTheme="minorHAnsi"/>
      <w:sz w:val="24"/>
      <w:szCs w:val="24"/>
      <w:lang w:eastAsia="en-US"/>
    </w:rPr>
  </w:style>
  <w:style w:type="character" w:styleId="964" w:customStyle="1">
    <w:name w:val="таймс 12 по ширине Знак"/>
    <w:basedOn w:val="739"/>
    <w:link w:val="963"/>
    <w:rPr>
      <w:rFonts w:ascii="Times New Roman" w:hAnsi="Times New Roman" w:cs="Times New Roman"/>
      <w:sz w:val="24"/>
      <w:szCs w:val="24"/>
    </w:rPr>
  </w:style>
  <w:style w:type="paragraph" w:styleId="965" w:customStyle="1">
    <w:name w:val="14"/>
    <w:basedOn w:val="729"/>
    <w:link w:val="967"/>
    <w:qFormat/>
    <w:pPr>
      <w:ind w:firstLine="708"/>
      <w:jc w:val="both"/>
    </w:pPr>
    <w:rPr>
      <w:rFonts w:eastAsiaTheme="minorEastAsia"/>
      <w:sz w:val="28"/>
    </w:rPr>
  </w:style>
  <w:style w:type="character" w:styleId="966" w:customStyle="1">
    <w:name w:val="ConsPlusTitle Знак"/>
    <w:basedOn w:val="739"/>
    <w:link w:val="919"/>
    <w:rPr>
      <w:rFonts w:ascii="Calibri" w:hAnsi="Calibri" w:eastAsia="Times New Roman" w:cs="Calibri"/>
      <w:b/>
      <w:szCs w:val="20"/>
      <w:lang w:eastAsia="ru-RU"/>
    </w:rPr>
  </w:style>
  <w:style w:type="character" w:styleId="967" w:customStyle="1">
    <w:name w:val="14 Знак"/>
    <w:basedOn w:val="739"/>
    <w:link w:val="965"/>
    <w:rPr>
      <w:rFonts w:ascii="Times New Roman" w:hAnsi="Times New Roman" w:cs="Times New Roman" w:eastAsiaTheme="minorEastAsia"/>
      <w:sz w:val="28"/>
      <w:szCs w:val="20"/>
      <w:lang w:eastAsia="ru-RU"/>
    </w:rPr>
  </w:style>
  <w:style w:type="character" w:styleId="968" w:customStyle="1">
    <w:name w:val="таймс 14 Знак"/>
    <w:basedOn w:val="966"/>
    <w:link w:val="969"/>
    <w:rPr>
      <w:rFonts w:ascii="Times New Roman" w:hAnsi="Times New Roman" w:eastAsia="Times New Roman" w:cs="Times New Roman"/>
      <w:b w:val="0"/>
      <w:sz w:val="28"/>
      <w:szCs w:val="28"/>
      <w:lang w:eastAsia="ru-RU"/>
    </w:rPr>
  </w:style>
  <w:style w:type="paragraph" w:styleId="969" w:customStyle="1">
    <w:name w:val="таймс 14"/>
    <w:basedOn w:val="919"/>
    <w:link w:val="968"/>
    <w:qFormat/>
    <w:pPr>
      <w:ind w:firstLine="709"/>
      <w:jc w:val="both"/>
    </w:pPr>
    <w:rPr>
      <w:rFonts w:ascii="Times New Roman" w:hAnsi="Times New Roman" w:cs="Times New Roman"/>
      <w:b w:val="0"/>
      <w:sz w:val="28"/>
      <w:szCs w:val="28"/>
    </w:rPr>
  </w:style>
  <w:style w:type="paragraph" w:styleId="970">
    <w:name w:val="Normal (Web)"/>
    <w:basedOn w:val="729"/>
    <w:uiPriority w:val="99"/>
    <w:unhideWhenUsed/>
    <w:rPr>
      <w:sz w:val="24"/>
      <w:szCs w:val="24"/>
    </w:rPr>
  </w:style>
  <w:style w:type="character" w:styleId="971" w:customStyle="1">
    <w:name w:val="Стиль1 Знак"/>
    <w:basedOn w:val="739"/>
    <w:link w:val="972"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paragraph" w:styleId="972" w:customStyle="1">
    <w:name w:val="Стиль1"/>
    <w:basedOn w:val="730"/>
    <w:link w:val="971"/>
    <w:qFormat/>
    <w:pPr>
      <w:jc w:val="center"/>
    </w:pPr>
    <w:rPr>
      <w:b/>
      <w:sz w:val="28"/>
    </w:rPr>
  </w:style>
  <w:style w:type="character" w:styleId="973" w:customStyle="1">
    <w:name w:val="Без интервала Знак"/>
    <w:link w:val="974"/>
    <w:uiPriority w:val="1"/>
    <w:rPr>
      <w:rFonts w:ascii="Calibri" w:hAnsi="Calibri" w:eastAsia="Calibri" w:cs="Calibri"/>
    </w:rPr>
  </w:style>
  <w:style w:type="paragraph" w:styleId="974">
    <w:name w:val="No Spacing"/>
    <w:link w:val="973"/>
    <w:uiPriority w:val="1"/>
    <w:qFormat/>
    <w:pPr>
      <w:spacing w:after="0" w:line="240" w:lineRule="auto"/>
    </w:pPr>
    <w:rPr>
      <w:rFonts w:ascii="Calibri" w:hAnsi="Calibri" w:eastAsia="Calibri" w:cs="Calibri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Relationship Id="rId12" Type="http://schemas.openxmlformats.org/officeDocument/2006/relationships/image" Target="media/image1.wmf"/><Relationship Id="rId13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E90D0-1745-4492-916E-3CCA65DD9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df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Ардиева Анастасия Олеговна</dc:creator>
  <cp:keywords/>
  <dc:description/>
  <cp:lastModifiedBy>samokhvalova-ev</cp:lastModifiedBy>
  <cp:revision>180</cp:revision>
  <dcterms:created xsi:type="dcterms:W3CDTF">2024-12-18T06:45:00Z</dcterms:created>
  <dcterms:modified xsi:type="dcterms:W3CDTF">2025-03-17T11:13:27Z</dcterms:modified>
</cp:coreProperties>
</file>