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9451149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02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  <w:r>
        <w:rPr>
          <w:color w:val="000000"/>
          <w:sz w:val="24"/>
          <w:lang w:val="en-US"/>
        </w:rPr>
      </w:r>
      <w:r>
        <w:rPr>
          <w:color w:val="000000"/>
          <w:sz w:val="24"/>
          <w:lang w:val="en-US"/>
        </w:rPr>
      </w:r>
    </w:p>
    <w:p>
      <w:pPr>
        <w:pStyle w:val="902"/>
        <w:jc w:val="both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02"/>
        <w:jc w:val="both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0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right="5095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размер показателей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09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объема финансового </w:t>
      </w:r>
      <w:r>
        <w:rPr>
          <w:b/>
          <w:bCs/>
          <w:sz w:val="28"/>
          <w:szCs w:val="28"/>
        </w:rPr>
        <w:t xml:space="preserve">обеспечения во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мещения части затрат частным образовательным организациям, осуществл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ющ</w:t>
      </w:r>
      <w:r>
        <w:rPr>
          <w:b/>
          <w:bCs/>
          <w:sz w:val="28"/>
          <w:szCs w:val="28"/>
        </w:rPr>
        <w:t xml:space="preserve">им образовательную деятельность </w:t>
        <w:br/>
        <w:t xml:space="preserve">по образовательным программам дошкольного о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разования,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right="509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плановый п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риод 2026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right="5095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и 2027 годов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highlight w:val="none"/>
        </w:rPr>
        <w:t xml:space="preserve">утвержденный </w:t>
      </w:r>
      <w:r>
        <w:rPr>
          <w:b/>
          <w:bCs/>
          <w:color w:val="000000"/>
          <w:sz w:val="28"/>
          <w:szCs w:val="28"/>
        </w:rPr>
        <w:t xml:space="preserve">постановл</w:t>
      </w:r>
      <w:r>
        <w:rPr>
          <w:b/>
          <w:bCs/>
          <w:color w:val="000000"/>
          <w:sz w:val="28"/>
          <w:szCs w:val="28"/>
        </w:rPr>
        <w:t xml:space="preserve">е</w:t>
      </w:r>
      <w:r>
        <w:rPr>
          <w:b/>
          <w:bCs/>
          <w:color w:val="000000"/>
          <w:sz w:val="28"/>
          <w:szCs w:val="28"/>
        </w:rPr>
        <w:t xml:space="preserve">нием администрации </w:t>
      </w:r>
      <w:r>
        <w:rPr>
          <w:b/>
          <w:bCs/>
          <w:color w:val="000000"/>
          <w:sz w:val="28"/>
          <w:szCs w:val="28"/>
        </w:rPr>
        <w:t xml:space="preserve">города Перми </w:t>
      </w:r>
      <w:r>
        <w:rPr>
          <w:b/>
          <w:bCs/>
          <w:color w:val="000000"/>
          <w:sz w:val="28"/>
          <w:szCs w:val="28"/>
        </w:rPr>
        <w:t xml:space="preserve">от 20.03.2014 </w:t>
      </w:r>
      <w:r>
        <w:rPr>
          <w:b/>
          <w:bCs/>
          <w:color w:val="000000"/>
          <w:sz w:val="28"/>
          <w:szCs w:val="28"/>
        </w:rPr>
        <w:t xml:space="preserve">№ 186 «Об утве</w:t>
      </w:r>
      <w:r>
        <w:rPr>
          <w:b/>
          <w:bCs/>
          <w:color w:val="000000"/>
          <w:sz w:val="28"/>
          <w:szCs w:val="28"/>
        </w:rPr>
        <w:t xml:space="preserve">р</w:t>
      </w:r>
      <w:r>
        <w:rPr>
          <w:b/>
          <w:bCs/>
          <w:color w:val="000000"/>
          <w:sz w:val="28"/>
          <w:szCs w:val="28"/>
        </w:rPr>
        <w:t xml:space="preserve">ждении Методики расчета и размера п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казателей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5095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t xml:space="preserve">для определения объема финансового обеспечения возмещ</w:t>
      </w:r>
      <w:r>
        <w:rPr>
          <w:b/>
          <w:bCs/>
          <w:color w:val="000000"/>
          <w:sz w:val="28"/>
          <w:szCs w:val="28"/>
        </w:rPr>
        <w:t xml:space="preserve">е</w:t>
      </w:r>
      <w:r>
        <w:rPr>
          <w:b/>
          <w:bCs/>
          <w:color w:val="000000"/>
          <w:sz w:val="28"/>
          <w:szCs w:val="28"/>
        </w:rPr>
        <w:t xml:space="preserve">ния части </w:t>
      </w:r>
      <w:r>
        <w:rPr>
          <w:b/>
          <w:bCs/>
          <w:color w:val="000000"/>
          <w:sz w:val="28"/>
          <w:szCs w:val="28"/>
        </w:rPr>
        <w:t xml:space="preserve">затрат частным образов</w:t>
      </w:r>
      <w:r>
        <w:rPr>
          <w:b/>
          <w:bCs/>
          <w:color w:val="000000"/>
          <w:sz w:val="28"/>
          <w:szCs w:val="28"/>
        </w:rPr>
        <w:t xml:space="preserve">а</w:t>
      </w:r>
      <w:r>
        <w:rPr>
          <w:b/>
          <w:bCs/>
          <w:color w:val="000000"/>
          <w:sz w:val="28"/>
          <w:szCs w:val="28"/>
        </w:rPr>
        <w:t xml:space="preserve">тельным организаци</w:t>
      </w:r>
      <w:r>
        <w:rPr>
          <w:b/>
          <w:bCs/>
          <w:color w:val="000000"/>
          <w:sz w:val="28"/>
          <w:szCs w:val="28"/>
        </w:rPr>
        <w:t xml:space="preserve">ям, осущест</w:t>
      </w:r>
      <w:r>
        <w:rPr>
          <w:b/>
          <w:bCs/>
          <w:color w:val="000000"/>
          <w:sz w:val="28"/>
          <w:szCs w:val="28"/>
        </w:rPr>
        <w:t xml:space="preserve">в</w:t>
      </w:r>
      <w:r>
        <w:rPr>
          <w:b/>
          <w:bCs/>
          <w:color w:val="000000"/>
          <w:sz w:val="28"/>
          <w:szCs w:val="28"/>
        </w:rPr>
        <w:t xml:space="preserve">ляющим </w:t>
      </w:r>
      <w:r>
        <w:rPr>
          <w:b/>
          <w:bCs/>
          <w:color w:val="000000"/>
          <w:sz w:val="28"/>
          <w:szCs w:val="28"/>
        </w:rPr>
        <w:t xml:space="preserve">образовательную деятел</w:t>
      </w:r>
      <w:r>
        <w:rPr>
          <w:b/>
          <w:bCs/>
          <w:color w:val="000000"/>
          <w:sz w:val="28"/>
          <w:szCs w:val="28"/>
        </w:rPr>
        <w:t xml:space="preserve">ь</w:t>
      </w:r>
      <w:r>
        <w:rPr>
          <w:b/>
          <w:bCs/>
          <w:color w:val="000000"/>
          <w:sz w:val="28"/>
          <w:szCs w:val="28"/>
        </w:rPr>
        <w:t xml:space="preserve">ность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5095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по образовательным програ</w:t>
      </w:r>
      <w:r>
        <w:rPr>
          <w:b/>
          <w:bCs/>
          <w:color w:val="000000"/>
          <w:sz w:val="28"/>
          <w:szCs w:val="28"/>
        </w:rPr>
        <w:t xml:space="preserve">м</w:t>
      </w:r>
      <w:r>
        <w:rPr>
          <w:b/>
          <w:bCs/>
          <w:color w:val="000000"/>
          <w:sz w:val="28"/>
          <w:szCs w:val="28"/>
        </w:rPr>
        <w:t xml:space="preserve">мам дошкольного образования»</w:t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6 октября 2003 г. № 131-ФЗ </w:t>
        <w:br w:type="textWrapping" w:clear="all"/>
        <w:t xml:space="preserve">«Об общих принципах организации местного самоуправления в Российской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дерации», Уставом города Перми, </w:t>
      </w:r>
      <w:r>
        <w:rPr>
          <w:color w:val="000000"/>
          <w:sz w:val="28"/>
          <w:szCs w:val="28"/>
        </w:rPr>
        <w:t xml:space="preserve">решениями Пермской городской Думы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28 августа 2007 г. № 185 «Об утверждении Положения о бюджете </w:t>
        <w:br/>
        <w:t xml:space="preserve">и бюдже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ном процессе в городе Перми»,</w:t>
      </w:r>
      <w:r>
        <w:rPr>
          <w:color w:val="000000"/>
          <w:sz w:val="28"/>
          <w:szCs w:val="28"/>
        </w:rPr>
        <w:t xml:space="preserve"> от 28 января 2014 г. № 13 </w:t>
        <w:br/>
        <w:t xml:space="preserve">«Об установлении </w:t>
      </w:r>
      <w:r>
        <w:rPr>
          <w:color w:val="000000"/>
          <w:sz w:val="28"/>
          <w:szCs w:val="28"/>
        </w:rPr>
        <w:t xml:space="preserve">ра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ходного обязательства по возмещению части затрат частных образовательных о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ганизаций, осуществляющих на территории города Перми образовательную </w:t>
      </w:r>
      <w:r>
        <w:rPr>
          <w:color w:val="000000"/>
          <w:sz w:val="28"/>
          <w:szCs w:val="28"/>
        </w:rPr>
        <w:t xml:space="preserve">де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тельность по имеющим государственную аккредитацию основным общеобразов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тельным программам»</w:t>
      </w:r>
      <w:r>
        <w:rPr>
          <w:color w:val="000000"/>
          <w:sz w:val="28"/>
          <w:szCs w:val="28"/>
        </w:rPr>
        <w:t xml:space="preserve">, в целях актуализации норматив</w:t>
      </w:r>
      <w:r>
        <w:rPr>
          <w:color w:val="000000"/>
          <w:sz w:val="28"/>
          <w:szCs w:val="28"/>
        </w:rPr>
        <w:t xml:space="preserve">ной правовой базы </w:t>
      </w:r>
      <w:r>
        <w:rPr>
          <w:color w:val="000000"/>
          <w:sz w:val="28"/>
          <w:szCs w:val="28"/>
        </w:rPr>
        <w:t xml:space="preserve">адм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нис</w:t>
      </w:r>
      <w:r>
        <w:rPr>
          <w:color w:val="000000"/>
          <w:sz w:val="28"/>
          <w:szCs w:val="28"/>
        </w:rPr>
        <w:t xml:space="preserve">трации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 показателей для определения объема финансового </w:t>
      </w:r>
      <w:r>
        <w:rPr>
          <w:sz w:val="28"/>
          <w:szCs w:val="28"/>
        </w:rPr>
        <w:t xml:space="preserve">обеспечения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части затрат частным образовательным организациям,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ющ</w:t>
      </w:r>
      <w:r>
        <w:rPr>
          <w:sz w:val="28"/>
          <w:szCs w:val="28"/>
        </w:rPr>
        <w:t xml:space="preserve">им образовательную деятельность </w:t>
        <w:br/>
        <w:t xml:space="preserve">по образовательным программам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разования, на 2025 год </w:t>
        <w:br/>
        <w:t xml:space="preserve">и плановый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2026 и 2027 годов,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</w:t>
      </w:r>
      <w:r>
        <w:rPr>
          <w:sz w:val="28"/>
          <w:szCs w:val="28"/>
        </w:rPr>
        <w:t xml:space="preserve">от 20 марта 2014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186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Методики расчета и размера показ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для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финансового обеспечения возмещения части затрат частным образоват</w:t>
      </w:r>
      <w:r>
        <w:rPr>
          <w:sz w:val="28"/>
          <w:szCs w:val="28"/>
        </w:rPr>
        <w:t xml:space="preserve">ельным организациям, осуществляющим образовательную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ятельность по образовательным программам дошкольного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19.11.2014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876, от 28.05.2015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320, от 29.05.2015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323, </w:t>
      </w:r>
      <w:r>
        <w:rPr>
          <w:sz w:val="28"/>
          <w:szCs w:val="28"/>
        </w:rPr>
        <w:t xml:space="preserve">от 30.07.2015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507, от </w:t>
      </w:r>
      <w:r>
        <w:rPr>
          <w:sz w:val="28"/>
          <w:szCs w:val="28"/>
        </w:rPr>
        <w:t xml:space="preserve">17.09.2015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651, </w:t>
        <w:br/>
        <w:t xml:space="preserve">от 20.10.2015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842, от 15.12.2015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1067, от 26.02.2016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130, от 28.02.2017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135, от 19.10.2017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916, </w:t>
      </w:r>
      <w:r>
        <w:rPr>
          <w:sz w:val="28"/>
          <w:szCs w:val="28"/>
        </w:rPr>
        <w:t xml:space="preserve">от 01.02.2018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, от 29.10.2018 № 843, </w:t>
        <w:br/>
        <w:t xml:space="preserve">от 07.11.2019 № 863, от 11.09.2020 </w:t>
      </w:r>
      <w:r>
        <w:rPr>
          <w:sz w:val="28"/>
          <w:szCs w:val="28"/>
        </w:rPr>
        <w:t xml:space="preserve">№ 825, </w:t>
      </w:r>
      <w:r>
        <w:rPr>
          <w:sz w:val="28"/>
          <w:szCs w:val="28"/>
        </w:rPr>
        <w:t xml:space="preserve">от 23.09.2021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749, от 20.06.2022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493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04.10</w:t>
      </w:r>
      <w:r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901, </w:t>
      </w:r>
      <w:r>
        <w:rPr>
          <w:sz w:val="28"/>
          <w:szCs w:val="28"/>
        </w:rPr>
        <w:t xml:space="preserve">от 20.10.2022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1030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13.10.2023 № 1011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  <w:t xml:space="preserve">от 17.10.2024 № 909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05.12.2024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1186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</w:t>
      </w:r>
      <w:r>
        <w:rPr>
          <w:sz w:val="28"/>
        </w:rPr>
        <w:t xml:space="preserve">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</w:t>
      </w:r>
      <w:r>
        <w:rPr>
          <w:sz w:val="28"/>
        </w:rPr>
        <w:t xml:space="preserve"> и распространяется на правоотношения, возникшие с 01 января 2025 г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2"/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02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</w:t>
      </w:r>
      <w:r>
        <w:rPr>
          <w:sz w:val="28"/>
        </w:rPr>
        <w:t xml:space="preserve">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90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9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Э.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Соснин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902"/>
        <w:spacing w:line="240" w:lineRule="exact"/>
        <w:rPr>
          <w:color w:val="000000"/>
          <w:sz w:val="28"/>
          <w:szCs w:val="28"/>
          <w:lang w:val="en-US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  <w:sectPr>
          <w:headerReference w:type="default" r:id="rId10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954"/>
        <w:spacing w:line="240" w:lineRule="exact"/>
        <w:rPr>
          <w:rFonts w:eastAsia="Calibri"/>
          <w:color w:val="000000"/>
          <w:sz w:val="28"/>
          <w:szCs w:val="28"/>
          <w:lang w:eastAsia="en-US"/>
        </w:rPr>
        <w:sectPr>
          <w:headerReference w:type="default" r:id="rId11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 постановлению администрации города Перми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21.03.2025 № 182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firstLine="70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firstLine="70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для оп</w:t>
      </w:r>
      <w:r>
        <w:rPr>
          <w:b/>
          <w:sz w:val="28"/>
          <w:szCs w:val="28"/>
        </w:rPr>
        <w:t xml:space="preserve">редел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ния объема финансового обеспечения во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мещения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части затрат частным образовательным организациям, осуществляющим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образовательную деятельность по образовательным программам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дошкол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ного образования,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ind w:firstLine="70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01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 лет, гру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па полного дня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 до 8 лет, группа полного дня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 лет, гру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па кратковр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мен-ного 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бывания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 до 8 лет, группа кратк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времен-ного пребывания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02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01"/>
        <w:gridCol w:w="17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</w:t>
            </w:r>
            <w:r>
              <w:rPr>
                <w:sz w:val="22"/>
                <w:szCs w:val="22"/>
              </w:rPr>
              <w:t xml:space="preserve">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основных общеобраз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программ дошкол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образования (обучающи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ограниченными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можностями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2 011,44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основн</w:t>
            </w:r>
            <w:r>
              <w:rPr>
                <w:sz w:val="22"/>
                <w:szCs w:val="22"/>
              </w:rPr>
              <w:t xml:space="preserve">ых общеобраз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программ дошкол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образования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смотру и уходу (физические лица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</w:t>
            </w:r>
            <w:r>
              <w:rPr>
                <w:sz w:val="22"/>
                <w:szCs w:val="22"/>
              </w:rPr>
              <w:t xml:space="preserve"> льго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категорий),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2 019,61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нормати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затрат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содержание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ниципального имущес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нормати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затрат на 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лату налогов,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</w:t>
            </w: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</w:t>
            </w:r>
            <w:r>
              <w:rPr>
                <w:sz w:val="22"/>
                <w:szCs w:val="22"/>
              </w:rPr>
              <w:t xml:space="preserve">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(обучающи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ограниченными возможностями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221,61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740,76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8 210,98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7 717,35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</w:t>
            </w:r>
            <w:r>
              <w:rPr>
                <w:sz w:val="22"/>
                <w:szCs w:val="22"/>
              </w:rPr>
              <w:t xml:space="preserve">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(обучающиеся, за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ключением обучающихся с ограниченными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15 598,43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14 117,58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6 587,80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6 094,17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</w:t>
            </w:r>
            <w:r>
              <w:rPr>
                <w:sz w:val="22"/>
                <w:szCs w:val="22"/>
              </w:rPr>
              <w:t xml:space="preserve">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17 221,61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15 740,76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</w:t>
            </w:r>
            <w:r>
              <w:rPr>
                <w:sz w:val="22"/>
                <w:szCs w:val="22"/>
              </w:rPr>
              <w:t xml:space="preserve">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15 598,43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14 117,58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основных общеобраз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программ дошкол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образования (обучающи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ограниченными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можностями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2 011,44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основных общеобраз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программ дошкол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образования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</w:t>
            </w:r>
            <w:r>
              <w:rPr>
                <w:sz w:val="22"/>
                <w:szCs w:val="22"/>
              </w:rPr>
              <w:t xml:space="preserve">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смотру и уходу (физические лица,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льго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категорий),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2 019,61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нормати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затрат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содержание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ниципального имущес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нормати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затрат на 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лату налогов,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</w:t>
            </w:r>
            <w:r>
              <w:rPr>
                <w:sz w:val="22"/>
                <w:szCs w:val="22"/>
              </w:rPr>
              <w:t xml:space="preserve">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(обучающи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ограниченными возможностями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17 221,61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15 740,76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8 210,98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7 717,35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</w:t>
            </w:r>
            <w:r>
              <w:rPr>
                <w:sz w:val="22"/>
                <w:szCs w:val="22"/>
              </w:rPr>
              <w:t xml:space="preserve">плату налогов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(обучающиеся,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ключением обучающихся с ограниченными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15 598,43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14 117,58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6 587,80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6 094,17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17 221,61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15 740,76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15 598,43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14 117,58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основных общеобраз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программ дошкол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</w:t>
            </w:r>
            <w:r>
              <w:rPr>
                <w:sz w:val="22"/>
                <w:szCs w:val="22"/>
              </w:rPr>
              <w:t xml:space="preserve">зования (обучающи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ограниченными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можностями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2 011,44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основных общеобраз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программ дошкол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образования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смотру и уходу (физические лица,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льго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категорий),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2 019,61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</w:t>
            </w:r>
            <w:r>
              <w:rPr>
                <w:sz w:val="22"/>
                <w:szCs w:val="22"/>
              </w:rPr>
              <w:t xml:space="preserve">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нормати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затрат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содержание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ниципального имущес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нормати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затрат на 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лату налогов,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(обучающи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ограниченными во</w:t>
            </w:r>
            <w:r>
              <w:rPr>
                <w:sz w:val="22"/>
                <w:szCs w:val="22"/>
              </w:rPr>
              <w:t xml:space="preserve">зможностями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17 221,61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15 740,76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8 210,98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7 717,35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(обучающиеся,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ключением обучающихся с ограниченными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15 598,43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14 117,58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6 587,80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6 094,17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17 221,61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15 740,76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образовательным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осуществляющим о</w:t>
            </w:r>
            <w:r>
              <w:rPr>
                <w:sz w:val="22"/>
                <w:szCs w:val="22"/>
              </w:rPr>
              <w:t xml:space="preserve">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(адаптированная образовательная программа обучающихся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15 598,43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14 117,58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3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link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link w:val="756"/>
    <w:uiPriority w:val="35"/>
    <w:rPr>
      <w:b/>
      <w:bCs/>
      <w:color w:val="4f81bd" w:themeColor="accent1"/>
      <w:sz w:val="18"/>
      <w:szCs w:val="18"/>
    </w:rPr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02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paragraph" w:styleId="917">
    <w:name w:val="Форма"/>
    <w:next w:val="917"/>
    <w:link w:val="902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909"/>
    <w:rPr>
      <w:rFonts w:ascii="Courier New" w:hAnsi="Courier New"/>
      <w:sz w:val="26"/>
    </w:rPr>
  </w:style>
  <w:style w:type="paragraph" w:styleId="919">
    <w:name w:val="ConsPlusTitle"/>
    <w:next w:val="919"/>
    <w:link w:val="902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920">
    <w:name w:val="Сетка таблицы"/>
    <w:basedOn w:val="906"/>
    <w:next w:val="920"/>
    <w:link w:val="9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1">
    <w:name w:val="ConsPlusNormal"/>
    <w:next w:val="921"/>
    <w:link w:val="902"/>
    <w:pPr>
      <w:widowControl w:val="off"/>
    </w:pPr>
    <w:rPr>
      <w:rFonts w:ascii="Arial" w:hAnsi="Arial" w:cs="Arial"/>
      <w:szCs w:val="22"/>
      <w:lang w:val="ru-RU" w:eastAsia="ru-RU" w:bidi="ar-SA"/>
    </w:rPr>
  </w:style>
  <w:style w:type="character" w:styleId="922" w:default="1">
    <w:name w:val="Default Paragraph Font"/>
    <w:uiPriority w:val="1"/>
    <w:semiHidden/>
    <w:unhideWhenUsed/>
  </w:style>
  <w:style w:type="numbering" w:styleId="923" w:default="1">
    <w:name w:val="No List"/>
    <w:uiPriority w:val="99"/>
    <w:semiHidden/>
    <w:unhideWhenUsed/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27</cp:revision>
  <dcterms:created xsi:type="dcterms:W3CDTF">2024-11-05T12:29:00Z</dcterms:created>
  <dcterms:modified xsi:type="dcterms:W3CDTF">2025-03-21T09:08:27Z</dcterms:modified>
  <cp:version>1048576</cp:version>
</cp:coreProperties>
</file>