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595399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white"/>
        </w:rPr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882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  <w:lang w:val="en-US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white"/>
        </w:rPr>
        <w:t xml:space="preserve">О внесении изменений </w:t>
        <w:br/>
        <w:t xml:space="preserve">в </w:t>
      </w:r>
      <w:r>
        <w:rPr>
          <w:b/>
          <w:bCs/>
          <w:sz w:val="28"/>
          <w:szCs w:val="28"/>
          <w:highlight w:val="white"/>
        </w:rPr>
        <w:t xml:space="preserve">Порядок предоставления </w:t>
        <w:br/>
        <w:t xml:space="preserve">субсидий на обустройство </w:t>
        <w:br/>
        <w:t xml:space="preserve">контейнерных площадок нового </w:t>
        <w:br/>
        <w:t xml:space="preserve">образца на придомовых территориях </w:t>
        <w:br/>
        <w:t xml:space="preserve">многоквартирных домов города </w:t>
        <w:br/>
        <w:t xml:space="preserve">Перми,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утвержденный постановлением </w:t>
        <w:br/>
        <w:t xml:space="preserve">администрации города Перми </w:t>
      </w:r>
      <w:r>
        <w:rPr>
          <w:b/>
          <w:bCs/>
          <w:sz w:val="28"/>
          <w:szCs w:val="28"/>
          <w:highlight w:val="white"/>
        </w:rPr>
        <w:br/>
        <w:t xml:space="preserve">от 28.09.2023 № 921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«Об утвер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ждении </w:t>
        <w:br/>
        <w:t xml:space="preserve">Порядка предоставления субсидий </w:t>
        <w:br/>
        <w:t xml:space="preserve">на обустройство контейнерных </w:t>
        <w:br/>
        <w:t xml:space="preserve">площадок нового образца на придомовых </w:t>
        <w:br/>
        <w:t xml:space="preserve">территориях многоквартирных домов </w:t>
        <w:br/>
        <w:t xml:space="preserve">города Перми и Порядка отбора </w:t>
        <w:br/>
        <w:t xml:space="preserve">получателей субсидий на обустройство </w:t>
        <w:br/>
        <w:t xml:space="preserve">контейнерных площадок нового образца </w:t>
        <w:br/>
        <w:t xml:space="preserve">на 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ридомовых территориях </w:t>
        <w:br/>
        <w:t xml:space="preserve">многоквартирных домов города Перми»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В соответствии с Бюджетным кодексом Российской Федерации, </w:t>
      </w:r>
      <w:r>
        <w:rPr>
          <w:sz w:val="28"/>
          <w:szCs w:val="24"/>
          <w:highlight w:val="white"/>
        </w:rPr>
        <w:t xml:space="preserve">постановлением Правительства Российской Федерации от 25 октября 2023 г. </w:t>
        <w:br/>
        <w:t xml:space="preserve">№ 1782 </w:t>
      </w:r>
      <w:r>
        <w:rPr>
          <w:sz w:val="28"/>
          <w:szCs w:val="24"/>
          <w:highlight w:val="white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r>
        <w:rPr>
          <w:sz w:val="28"/>
          <w:szCs w:val="24"/>
          <w:highlight w:val="white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highlight w:val="white"/>
        </w:rPr>
        <w:t xml:space="preserve"> </w:t>
      </w:r>
      <w:r>
        <w:rPr>
          <w:sz w:val="28"/>
          <w:szCs w:val="24"/>
          <w:highlight w:val="white"/>
        </w:rPr>
        <w:t xml:space="preserve">постановлением администрации города Перми от 18 октября 2024 г. № 964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</w:t>
      </w:r>
      <w:r>
        <w:rPr>
          <w:sz w:val="28"/>
          <w:szCs w:val="24"/>
          <w:highlight w:val="white"/>
        </w:rPr>
        <w:t xml:space="preserve">Об утверждении муниципальной программы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</w:t>
      </w:r>
      <w:r>
        <w:rPr>
          <w:sz w:val="28"/>
          <w:szCs w:val="24"/>
          <w:highlight w:val="white"/>
        </w:rPr>
        <w:t xml:space="preserve">Развитие системы жилищно-коммунального хозяйства в городе Перми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»</w:t>
      </w:r>
      <w:r>
        <w:rPr>
          <w:sz w:val="28"/>
          <w:szCs w:val="24"/>
          <w:highlight w:val="white"/>
        </w:rPr>
        <w:t xml:space="preserve"> 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администрация города Перми ПОСТАНОВЛЯЕТ: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 Внести в </w:t>
      </w:r>
      <w:r>
        <w:rPr>
          <w:sz w:val="28"/>
          <w:szCs w:val="28"/>
          <w:highlight w:val="white"/>
        </w:rPr>
        <w:t xml:space="preserve">Порядок предоставления субсидий на обустройство контейнерных площадок нового образца на придомовых территориях многоквартирных домов города Перми, утвержденный постановлением администрации города Перми от 28 сентября 2023 г. № 921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Порядка предоставления субсидий на обустройство контейнерных площадок нового образца на придомовых территориях многоквартирных домов города Перми и Порядка отбора получателей субсидий на обустройство контейнерных площадок нового образца на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ридомовых территориях многоквартирных домов города Перми»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(в ред. от 29.11.2023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№ 1345, от 15.12.2023 № 1408, от 16.02.2024 № 122, </w:t>
        <w:br/>
        <w:t xml:space="preserve">от 27.05.2024 № 399, от 18.12.2024 № 1246)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,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en-US"/>
        </w:rPr>
        <w:t xml:space="preserve">1.1. </w:t>
      </w:r>
      <w:r>
        <w:rPr>
          <w:sz w:val="28"/>
          <w:szCs w:val="28"/>
          <w:highlight w:val="white"/>
          <w:lang w:eastAsia="en-US"/>
        </w:rPr>
        <w:t xml:space="preserve">п</w:t>
      </w:r>
      <w:r>
        <w:rPr>
          <w:sz w:val="28"/>
          <w:szCs w:val="28"/>
          <w:highlight w:val="white"/>
          <w:lang w:eastAsia="en-US"/>
        </w:rPr>
        <w:t xml:space="preserve">ун</w:t>
      </w:r>
      <w:r>
        <w:rPr>
          <w:sz w:val="28"/>
          <w:szCs w:val="28"/>
          <w:highlight w:val="white"/>
          <w:lang w:eastAsia="en-US"/>
        </w:rPr>
        <w:t xml:space="preserve">кт 2.3 изложить в следующей редакции: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2.3. Субсидии предоставляются на обустройство контейнерных площадок нового образца на придомовых территориях многоквартирных домов города Перми (далее – обустройство контейнерной площадки),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 которым понимается обустройство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мест (площадок) накопления твердых коммунальных отходов </w:t>
        <w:br/>
        <w:t xml:space="preserve">на придомовых территориях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согласно графическому изображению, представленному в приложении 16 к Правилам благоустрой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ства территории города Перми, утвержденным решением Пермской городской Думы от 15 декабря 2020 г. № 277, за счет средств бюджета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рамках 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ализации муниципальной программ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en-US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en-US"/>
        </w:rPr>
        <w:t xml:space="preserve">1.2. в абзаце втором пункта 2.6. после слова </w:t>
      </w:r>
      <w:r>
        <w:rPr>
          <w:sz w:val="28"/>
          <w:szCs w:val="28"/>
          <w:highlight w:val="white"/>
          <w:lang w:eastAsia="en-US"/>
        </w:rPr>
        <w:t xml:space="preserve">«реорганизация» </w:t>
      </w:r>
      <w:r>
        <w:rPr>
          <w:sz w:val="28"/>
          <w:szCs w:val="28"/>
          <w:highlight w:val="white"/>
          <w:lang w:eastAsia="en-US"/>
        </w:rPr>
        <w:t xml:space="preserve">дополнить словами «</w:t>
      </w:r>
      <w:r>
        <w:rPr>
          <w:sz w:val="28"/>
          <w:szCs w:val="28"/>
          <w:highlight w:val="white"/>
          <w:lang w:eastAsia="en-US"/>
        </w:rPr>
        <w:t xml:space="preserve">(в форме разделения, выделения</w:t>
      </w:r>
      <w:r>
        <w:rPr>
          <w:sz w:val="28"/>
          <w:szCs w:val="28"/>
          <w:highlight w:val="white"/>
          <w:lang w:eastAsia="en-US"/>
        </w:rPr>
        <w:t xml:space="preserve">)»;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:lang w:eastAsia="en-US"/>
        </w:rPr>
        <w:t xml:space="preserve">1.3. </w:t>
      </w:r>
      <w:r>
        <w:rPr>
          <w:sz w:val="28"/>
          <w:szCs w:val="28"/>
          <w:highlight w:val="white"/>
          <w:lang w:eastAsia="en-US"/>
        </w:rPr>
        <w:t xml:space="preserve">в абзаце втором пункта 3.1 после слов </w:t>
      </w:r>
      <w:r>
        <w:rPr>
          <w:sz w:val="28"/>
          <w:szCs w:val="28"/>
          <w:highlight w:val="white"/>
          <w:lang w:eastAsia="en-US"/>
        </w:rPr>
        <w:t xml:space="preserve">«в отношении» дополнить слова</w:t>
      </w:r>
      <w:r>
        <w:rPr>
          <w:sz w:val="28"/>
          <w:szCs w:val="28"/>
          <w:highlight w:val="white"/>
          <w:lang w:eastAsia="en-US"/>
        </w:rPr>
        <w:t xml:space="preserve">ми «результата пред</w:t>
      </w:r>
      <w:r>
        <w:rPr>
          <w:sz w:val="28"/>
          <w:szCs w:val="28"/>
          <w:highlight w:val="white"/>
          <w:lang w:eastAsia="en-US"/>
        </w:rPr>
        <w:t xml:space="preserve">оставления субсидии установленного абзацем третьим пункта </w:t>
        <w:br/>
        <w:t xml:space="preserve">2.5 настоящего Порядка</w:t>
      </w:r>
      <w:r>
        <w:rPr>
          <w:sz w:val="28"/>
          <w:szCs w:val="28"/>
          <w:highlight w:val="white"/>
          <w:lang w:eastAsia="en-US"/>
        </w:rPr>
        <w:t xml:space="preserve"> и»;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14:ligatures w14:val="none"/>
        </w:rPr>
        <w:t xml:space="preserve">1.4. дополнить пунктом 4.4.4 следующего содержания: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14:ligatures w14:val="none"/>
        </w:rPr>
        <w:t xml:space="preserve">«</w:t>
      </w:r>
      <w:r>
        <w:rPr>
          <w:sz w:val="28"/>
          <w:szCs w:val="28"/>
          <w:highlight w:val="white"/>
          <w14:ligatures w14:val="none"/>
        </w:rPr>
        <w:t xml:space="preserve">4</w:t>
      </w:r>
      <w:r>
        <w:rPr>
          <w:sz w:val="28"/>
          <w:szCs w:val="28"/>
          <w:highlight w:val="white"/>
          <w14:ligatures w14:val="none"/>
        </w:rPr>
        <w:t xml:space="preserve">.4.4. уплата получателем субсидии пени осуществляется в случае недостижения в установленные соглашением сроки значения результата предоставления субсидии в размере одной</w:t>
      </w:r>
      <w:r>
        <w:rPr>
          <w:sz w:val="28"/>
          <w:szCs w:val="28"/>
          <w:highlight w:val="white"/>
          <w14:ligatures w14:val="none"/>
        </w:rPr>
        <w:t xml:space="preserve"> </w:t>
      </w:r>
      <w:r>
        <w:rPr>
          <w:sz w:val="28"/>
          <w:szCs w:val="28"/>
          <w:highlight w:val="white"/>
          <w14:ligatures w14:val="none"/>
        </w:rPr>
        <w:t xml:space="preserve">трехсотшестидесятой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 (с первого дня, следующ</w:t>
      </w:r>
      <w:r>
        <w:rPr>
          <w:sz w:val="28"/>
          <w:szCs w:val="28"/>
          <w:highlight w:val="white"/>
          <w14:ligatures w14:val="none"/>
        </w:rPr>
        <w:t xml:space="preserve">его за плановой датой достижения результата пре</w:t>
      </w:r>
      <w:r>
        <w:rPr>
          <w:sz w:val="28"/>
          <w:szCs w:val="28"/>
          <w:highlight w:val="white"/>
          <w14:ligatures w14:val="none"/>
        </w:rPr>
        <w:t xml:space="preserve">доставления субсидии д</w:t>
      </w:r>
      <w:r>
        <w:rPr>
          <w:sz w:val="28"/>
          <w:szCs w:val="28"/>
          <w:highlight w:val="white"/>
          <w14:ligatures w14:val="none"/>
        </w:rPr>
        <w:t xml:space="preserve">о дня </w:t>
      </w:r>
      <w:r>
        <w:rPr>
          <w:sz w:val="28"/>
          <w:szCs w:val="28"/>
          <w:highlight w:val="white"/>
          <w14:ligatures w14:val="none"/>
        </w:rPr>
        <w:t xml:space="preserve">достижения результата </w:t>
      </w:r>
      <w:r>
        <w:rPr>
          <w:sz w:val="28"/>
          <w:szCs w:val="28"/>
          <w:highlight w:val="white"/>
          <w14:ligatures w14:val="none"/>
        </w:rPr>
        <w:t xml:space="preserve">предоставления субсидии</w:t>
      </w:r>
      <w:r>
        <w:rPr>
          <w:sz w:val="28"/>
          <w:szCs w:val="28"/>
          <w:highlight w:val="white"/>
          <w14:ligatures w14:val="none"/>
        </w:rPr>
        <w:t xml:space="preserve"> или до дня </w:t>
      </w:r>
      <w:r>
        <w:rPr>
          <w:sz w:val="28"/>
          <w:szCs w:val="28"/>
          <w:highlight w:val="white"/>
          <w14:ligatures w14:val="none"/>
        </w:rPr>
        <w:t xml:space="preserve">возврата субсидии (час</w:t>
      </w:r>
      <w:r>
        <w:rPr>
          <w:sz w:val="28"/>
          <w:szCs w:val="28"/>
          <w:highlight w:val="white"/>
          <w14:ligatures w14:val="none"/>
        </w:rPr>
        <w:t xml:space="preserve">ти субсидии) в соответствующий бюджет</w:t>
      </w:r>
      <w:r>
        <w:rPr>
          <w:sz w:val="28"/>
          <w:szCs w:val="28"/>
          <w:highlight w:val="white"/>
          <w14:ligatures w14:val="none"/>
        </w:rPr>
        <w:t xml:space="preserve">).</w:t>
      </w:r>
      <w:r>
        <w:rPr>
          <w:sz w:val="28"/>
          <w:szCs w:val="28"/>
          <w:highlight w:val="white"/>
          <w14:ligatures w14:val="none"/>
        </w:rPr>
        <w:t xml:space="preserve">»;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hd w:val="clear" w:color="ffffff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 в приложении 3: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ffffff" w:fill="ffffff"/>
        <w:rPr>
          <w:rFonts w:eastAsia="Calibri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1.5.1. таблицу </w:t>
      </w:r>
      <w:r>
        <w:rPr>
          <w:rFonts w:eastAsia="Calibri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46"/>
        <w:gridCol w:w="5216"/>
        <w:gridCol w:w="961"/>
        <w:gridCol w:w="850"/>
        <w:gridCol w:w="234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Наименование затрат при обустройстве контейнерной площадки нового образца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 придомовых территориях многоквартирных домов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Нормативная (предельная) стоимость работ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  <w:vertAlign w:val="superscript"/>
              </w:rPr>
            </w:pPr>
            <w:r>
              <w:rPr>
                <w:sz w:val="24"/>
                <w:szCs w:val="24"/>
                <w:highlight w:val="white"/>
              </w:rPr>
              <w:t xml:space="preserve">по обустройству контейнерной площадки нового образца, руб. </w:t>
            </w:r>
            <w:r>
              <w:rPr>
                <w:sz w:val="24"/>
                <w:szCs w:val="24"/>
                <w:highlight w:val="white"/>
                <w:vertAlign w:val="superscript"/>
              </w:rPr>
            </w:r>
            <w:r>
              <w:rPr>
                <w:sz w:val="24"/>
                <w:szCs w:val="24"/>
                <w:highlight w:val="white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ед. изм.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коли-чество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  <w:highlight w:val="white"/>
        </w:rPr>
      </w:pP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  <w:r>
        <w:rPr>
          <w:sz w:val="2"/>
          <w:szCs w:val="2"/>
          <w:highlight w:val="white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46"/>
        <w:gridCol w:w="5216"/>
        <w:gridCol w:w="961"/>
        <w:gridCol w:w="850"/>
        <w:gridCol w:w="2348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4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4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375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контейнерной площадки нового </w:t>
            </w:r>
            <w:r>
              <w:rPr>
                <w:sz w:val="24"/>
                <w:szCs w:val="24"/>
                <w:highlight w:val="white"/>
              </w:rPr>
              <w:t xml:space="preserve">образца: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конфигурация 1: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 евроконтейнер +1 </w:t>
            </w:r>
            <w:r>
              <w:rPr>
                <w:sz w:val="24"/>
                <w:szCs w:val="24"/>
                <w:highlight w:val="white"/>
              </w:rPr>
              <w:t xml:space="preserve">специальная площадка для крупногабаритных отходов</w:t>
            </w:r>
            <w:r>
              <w:rPr>
                <w:sz w:val="24"/>
                <w:szCs w:val="24"/>
                <w:highlight w:val="white"/>
              </w:rPr>
              <w:t xml:space="preserve"> (далее – площадка КГМ):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161 789,28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2: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а </w:t>
            </w:r>
            <w:r>
              <w:rPr>
                <w:sz w:val="24"/>
                <w:szCs w:val="24"/>
                <w:highlight w:val="white"/>
              </w:rPr>
              <w:t xml:space="preserve">+1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233 695,63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3: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а</w:t>
            </w:r>
            <w:r>
              <w:rPr>
                <w:sz w:val="24"/>
                <w:szCs w:val="24"/>
                <w:highlight w:val="white"/>
              </w:rPr>
              <w:t xml:space="preserve"> 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305 601,98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4: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а </w:t>
            </w:r>
            <w:r>
              <w:rPr>
                <w:sz w:val="24"/>
                <w:szCs w:val="24"/>
                <w:highlight w:val="white"/>
              </w:rPr>
              <w:t xml:space="preserve">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377 508,33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5: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449 414,68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6: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521 321,02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7: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593 227,37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8: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 </w:t>
            </w:r>
            <w:r>
              <w:rPr>
                <w:sz w:val="24"/>
                <w:szCs w:val="24"/>
                <w:highlight w:val="white"/>
              </w:rPr>
              <w:t xml:space="preserve">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665 133,72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9: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755 016,66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375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10: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 </w:t>
            </w:r>
            <w:r>
              <w:rPr>
                <w:sz w:val="24"/>
                <w:szCs w:val="24"/>
                <w:highlight w:val="white"/>
              </w:rPr>
              <w:t xml:space="preserve">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линейная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790 969,83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П-образная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826 923,00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375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11: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линейная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862 876,18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П-образная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898 829,35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375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онфигурация 12: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евроконтейнер</w:t>
            </w:r>
            <w:r>
              <w:rPr>
                <w:sz w:val="24"/>
                <w:szCs w:val="24"/>
                <w:highlight w:val="white"/>
              </w:rPr>
              <w:t xml:space="preserve">ов</w:t>
            </w:r>
            <w:r>
              <w:rPr>
                <w:sz w:val="24"/>
                <w:szCs w:val="24"/>
                <w:highlight w:val="white"/>
              </w:rPr>
              <w:t xml:space="preserve"> +</w:t>
            </w:r>
            <w:r>
              <w:rPr>
                <w:sz w:val="24"/>
                <w:szCs w:val="24"/>
                <w:highlight w:val="white"/>
              </w:rPr>
              <w:t xml:space="preserve">1 </w:t>
            </w:r>
            <w:r>
              <w:rPr>
                <w:sz w:val="24"/>
                <w:szCs w:val="24"/>
                <w:highlight w:val="white"/>
              </w:rPr>
              <w:t xml:space="preserve">площадка </w:t>
            </w:r>
            <w:r>
              <w:rPr>
                <w:sz w:val="24"/>
                <w:szCs w:val="24"/>
                <w:highlight w:val="white"/>
              </w:rPr>
              <w:t xml:space="preserve">КГМ</w:t>
            </w:r>
            <w:r>
              <w:rPr>
                <w:sz w:val="24"/>
                <w:szCs w:val="24"/>
                <w:highlight w:val="white"/>
              </w:rPr>
              <w:t xml:space="preserve">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линейная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  <w14:ligatures w14:val="none"/>
              </w:rPr>
            </w:pPr>
            <w:r>
              <w:rPr>
                <w:sz w:val="24"/>
                <w:szCs w:val="24"/>
                <w:highlight w:val="white"/>
              </w:rPr>
              <w:t xml:space="preserve">934 782,53</w:t>
            </w:r>
            <w:r>
              <w:rPr>
                <w:sz w:val="24"/>
                <w:szCs w:val="24"/>
                <w:highlight w:val="white"/>
                <w14:ligatures w14:val="none"/>
              </w:rPr>
            </w:r>
            <w:r>
              <w:rPr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П-образная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970 735,70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асфальтового покрытия подъездного пути и (или) основания </w:t>
            </w:r>
            <w:r>
              <w:rPr>
                <w:sz w:val="24"/>
                <w:szCs w:val="24"/>
                <w:highlight w:val="white"/>
              </w:rPr>
              <w:t xml:space="preserve">с заменой основания </w:t>
            </w:r>
            <w:r>
              <w:rPr>
                <w:sz w:val="24"/>
                <w:szCs w:val="24"/>
                <w:highlight w:val="white"/>
              </w:rPr>
              <w:t xml:space="preserve">(два слоя асфальта)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3 810,54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асфальтового покрытия подъездного пути и (или) основания</w:t>
            </w:r>
            <w:r>
              <w:rPr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с заменой основания</w:t>
            </w:r>
            <w:r>
              <w:rPr>
                <w:sz w:val="24"/>
                <w:szCs w:val="24"/>
                <w:highlight w:val="white"/>
              </w:rPr>
              <w:t xml:space="preserve"> (один слой асфальта)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2 901,07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асфальтового покрытия подъездного пути без замены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white"/>
                <w:u w:val="none"/>
                <w:vertAlign w:val="baseline"/>
              </w:rPr>
              <w:t xml:space="preserve">2 074,78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бетонного покрытия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кв.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4 394,92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дорожного борта покрытия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(или)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</w:t>
            </w:r>
            <w:r>
              <w:rPr>
                <w:sz w:val="24"/>
                <w:szCs w:val="24"/>
                <w:highlight w:val="white"/>
              </w:rPr>
              <w:t xml:space="preserve">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6 703,6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5216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Установка тротуарного борта покрытия и (или) основания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96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п. </w:t>
            </w:r>
            <w:r>
              <w:rPr>
                <w:sz w:val="24"/>
                <w:szCs w:val="24"/>
                <w:highlight w:val="white"/>
              </w:rPr>
              <w:t xml:space="preserve">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3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4 070,52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ind w:firstLine="709"/>
        <w:jc w:val="both"/>
        <w:shd w:val="clear" w:color="ffffff" w:fill="ffffff"/>
        <w:rPr>
          <w:rFonts w:eastAsia="Calibri"/>
          <w:sz w:val="28"/>
          <w:szCs w:val="28"/>
          <w:highlight w:val="white"/>
          <w:vertAlign w:val="baseline"/>
        </w:rPr>
      </w:pPr>
      <w:r>
        <w:rPr>
          <w:rFonts w:eastAsia="Calibri"/>
          <w:sz w:val="28"/>
          <w:szCs w:val="28"/>
          <w:highlight w:val="white"/>
          <w:vertAlign w:val="baseline"/>
        </w:rPr>
      </w:r>
      <w:r>
        <w:rPr>
          <w:rFonts w:eastAsia="Calibri"/>
          <w:sz w:val="28"/>
          <w:szCs w:val="28"/>
          <w:highlight w:val="white"/>
          <w:vertAlign w:val="baseline"/>
        </w:rPr>
      </w:r>
      <w:r>
        <w:rPr>
          <w:rFonts w:eastAsia="Calibri"/>
          <w:sz w:val="28"/>
          <w:szCs w:val="28"/>
          <w:highlight w:val="white"/>
          <w:vertAlign w:val="baseline"/>
        </w:rPr>
      </w:r>
    </w:p>
    <w:p>
      <w:pPr>
        <w:ind w:firstLine="709"/>
        <w:jc w:val="both"/>
        <w:shd w:val="clear" w:color="ffffff" w:fill="ffffff"/>
        <w:rPr>
          <w:rFonts w:eastAsia="Calibri"/>
          <w:sz w:val="28"/>
          <w:szCs w:val="28"/>
          <w:highlight w:val="white"/>
          <w:vertAlign w:val="baseline"/>
        </w:rPr>
      </w:pPr>
      <w:r>
        <w:rPr>
          <w:rFonts w:eastAsia="Calibri"/>
          <w:sz w:val="28"/>
          <w:szCs w:val="28"/>
          <w:highlight w:val="white"/>
        </w:rPr>
        <w:t xml:space="preserve">1.5.2</w:t>
      </w:r>
      <w:r>
        <w:rPr>
          <w:rFonts w:eastAsia="Calibri"/>
          <w:sz w:val="28"/>
          <w:szCs w:val="28"/>
          <w:highlight w:val="white"/>
        </w:rPr>
        <w:t xml:space="preserve">. </w:t>
      </w:r>
      <w:r>
        <w:rPr>
          <w:rFonts w:eastAsia="Calibri"/>
          <w:sz w:val="28"/>
          <w:szCs w:val="28"/>
          <w:highlight w:val="white"/>
        </w:rPr>
        <w:t xml:space="preserve">сноску </w:t>
      </w:r>
      <w:r>
        <w:rPr>
          <w:rFonts w:eastAsia="Calibri"/>
          <w:sz w:val="28"/>
          <w:szCs w:val="28"/>
          <w:highlight w:val="white"/>
          <w:vertAlign w:val="baseline"/>
        </w:rPr>
        <w:t xml:space="preserve">«</w:t>
      </w:r>
      <w:r>
        <w:rPr>
          <w:rFonts w:eastAsia="Calibri"/>
          <w:sz w:val="28"/>
          <w:szCs w:val="28"/>
          <w:highlight w:val="white"/>
          <w:vertAlign w:val="superscript"/>
        </w:rPr>
        <w:t xml:space="preserve">2</w:t>
      </w:r>
      <w:r>
        <w:rPr>
          <w:rFonts w:eastAsia="Calibri"/>
          <w:sz w:val="28"/>
          <w:szCs w:val="28"/>
          <w:highlight w:val="white"/>
          <w:vertAlign w:val="baseline"/>
        </w:rPr>
        <w:t xml:space="preserve">» признать утратившей силу;</w:t>
      </w:r>
      <w:r>
        <w:rPr>
          <w:rFonts w:eastAsia="Calibri"/>
          <w:sz w:val="28"/>
          <w:szCs w:val="28"/>
          <w:highlight w:val="white"/>
          <w:vertAlign w:val="baseline"/>
        </w:rPr>
      </w:r>
      <w:r>
        <w:rPr>
          <w:rFonts w:eastAsia="Calibri"/>
          <w:sz w:val="28"/>
          <w:szCs w:val="28"/>
          <w:highlight w:val="white"/>
          <w:vertAlign w:val="baseline"/>
        </w:rPr>
      </w:r>
    </w:p>
    <w:p>
      <w:pPr>
        <w:ind w:firstLine="709"/>
        <w:jc w:val="both"/>
        <w:shd w:val="clear" w:color="ffffff" w:fill="ffffff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1.6. </w:t>
      </w:r>
      <w:r>
        <w:rPr>
          <w:rFonts w:eastAsia="Calibri"/>
          <w:sz w:val="28"/>
          <w:szCs w:val="28"/>
          <w:highlight w:val="white"/>
        </w:rPr>
        <w:t xml:space="preserve">в приложении 4 </w:t>
      </w:r>
      <w:r>
        <w:rPr>
          <w:rFonts w:eastAsia="Calibri"/>
          <w:sz w:val="28"/>
          <w:szCs w:val="28"/>
          <w:highlight w:val="white"/>
        </w:rPr>
        <w:t xml:space="preserve">таблицу </w:t>
      </w:r>
      <w:r>
        <w:rPr>
          <w:rFonts w:eastAsia="Calibri"/>
          <w:sz w:val="28"/>
          <w:szCs w:val="28"/>
          <w:highlight w:val="white"/>
        </w:rPr>
        <w:t xml:space="preserve">после строки 2 </w:t>
      </w:r>
      <w:r>
        <w:rPr>
          <w:rFonts w:eastAsia="Calibri"/>
          <w:sz w:val="28"/>
          <w:szCs w:val="28"/>
          <w:highlight w:val="white"/>
        </w:rPr>
        <w:t xml:space="preserve">дополнить </w:t>
      </w:r>
      <w:r>
        <w:rPr>
          <w:rFonts w:eastAsia="Calibri"/>
          <w:sz w:val="28"/>
          <w:szCs w:val="28"/>
          <w:highlight w:val="white"/>
        </w:rPr>
        <w:t xml:space="preserve">строк</w:t>
      </w:r>
      <w:r>
        <w:rPr>
          <w:rFonts w:eastAsia="Calibri"/>
          <w:sz w:val="28"/>
          <w:szCs w:val="28"/>
          <w:highlight w:val="white"/>
        </w:rPr>
        <w:t xml:space="preserve">ами</w:t>
      </w:r>
      <w:r>
        <w:rPr>
          <w:rFonts w:eastAsia="Calibri"/>
          <w:sz w:val="28"/>
          <w:szCs w:val="28"/>
          <w:highlight w:val="white"/>
        </w:rPr>
        <w:t xml:space="preserve"> 2.1</w:t>
      </w:r>
      <w:r>
        <w:rPr>
          <w:rFonts w:eastAsia="Calibri"/>
          <w:sz w:val="28"/>
          <w:szCs w:val="28"/>
          <w:highlight w:val="white"/>
        </w:rPr>
        <w:t xml:space="preserve">-2.4</w:t>
      </w:r>
      <w:r>
        <w:rPr>
          <w:rFonts w:eastAsia="Calibri"/>
          <w:sz w:val="28"/>
          <w:szCs w:val="28"/>
          <w:highlight w:val="white"/>
        </w:rPr>
        <w:t xml:space="preserve"> следующего содержания: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000" w:firstRow="0" w:lastRow="0" w:firstColumn="0" w:lastColumn="0" w:noHBand="0" w:noVBand="0"/>
      </w:tblPr>
      <w:tblGrid>
        <w:gridCol w:w="488"/>
        <w:gridCol w:w="9433"/>
      </w:tblGrid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433" w:type="dxa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случае наличия на покрытиях пучин, осадок, просадок, размывов, нарушения положения люков колодцев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дождеприемных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решеток (далее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Внешние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дефекты основания дорожной одежды)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разборка существующих оснований </w:t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том числе железобетонных плит,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покрытий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подъездного пути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последующее устройство нового покрытия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подъездного пути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 заменой основания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433" w:type="dxa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Устройство нового покрытия подъездного пути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без замены основания </w:t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случае отсутствия на покрытии Внешних дефе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ктов основания дорожной одежды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наличия информации с приложением подтверждающих документов (актов приемки выполненных работ, актов ввода в эксплуатацию, иных документов):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наличии </w:t>
              <w:br/>
              <w:t xml:space="preserve">в основании покрытия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подъездного пути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монолитного бетона толщиной не менее 20 см </w:t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(или) бетонных тоннелей и (или) каналов и (или) коллекторов сетей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тепл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водо-, электроснабжения,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ремонте покрыти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подъездного пути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не поздн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ее 24 лет до даты запланированного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обустройства контейнерной площадки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нового образца на придомовых территориях многоквартирных домов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(или) о вводе дома в эксплуатацию не позднее 24 лет до даты запланированного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обустройства контейнерной площадки нового образца на придомовых территориях многоквартирных домов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433" w:type="dxa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выполнении работ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 заменой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устройство подъездного пути покрытия со следующей толщиной конструктивных слоев: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укладка песчано-гравийной смеси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толщиной не менее 0,35 м, щебня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менее 0,2 м, нижнего слоя из крупнозернистого асфальтобетона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менее 5 см, верхнего слоя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из мелкозернистого асфальтобетона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менее 4 см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случае проведения работ на территории,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которая не имеет сквозного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движения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для автомобилей: укладка песчано-гравийной смеси – толщиной не менее 0,35 м, щебня – </w:t>
              <w:br/>
              <w:t xml:space="preserve">не менее 0,2 м, верхнего слоя из мелкозернистого асфальтобетона – не менее 5 см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488" w:type="dxa"/>
            <w:textDirection w:val="lrTb"/>
            <w:noWrap w:val="false"/>
          </w:tcPr>
          <w:p>
            <w:pPr>
              <w:pStyle w:val="91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9433" w:type="dxa"/>
            <w:textDirection w:val="lrTb"/>
            <w:noWrap w:val="false"/>
          </w:tcPr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ри выполнении работ без замены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устройство покрытия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1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 следующей толщиной конструктивных слоев: укладка щебня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объеме, обеспечивающем толщину слоя в сумме с имеющимся щебеночным основанием не менее 8 см, мелкозернистого асфальтобетона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менее 5 см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4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4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3. Управлению по общим вопр</w:t>
      </w:r>
      <w:r>
        <w:rPr>
          <w:sz w:val="28"/>
          <w:szCs w:val="24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720"/>
        <w:jc w:val="both"/>
        <w:rPr>
          <w:sz w:val="28"/>
          <w:szCs w:val="24"/>
          <w:highlight w:val="white"/>
        </w:rPr>
      </w:pPr>
      <w:r>
        <w:rPr>
          <w:sz w:val="28"/>
          <w:szCs w:val="24"/>
          <w:highlight w:val="white"/>
          <w:lang w:eastAsia="en-US"/>
        </w:rPr>
        <w:t xml:space="preserve">5. </w:t>
      </w:r>
      <w:r>
        <w:rPr>
          <w:sz w:val="28"/>
          <w:szCs w:val="24"/>
          <w:highlight w:val="white"/>
          <w:lang w:eastAsia="en-US"/>
        </w:rPr>
        <w:t xml:space="preserve">Контроль за</w:t>
      </w:r>
      <w:r>
        <w:rPr>
          <w:sz w:val="28"/>
          <w:szCs w:val="24"/>
          <w:highlight w:val="white"/>
          <w:lang w:eastAsia="en-US"/>
        </w:rPr>
        <w:t xml:space="preserve"> исполнением настоящего постановления возложить </w:t>
      </w:r>
      <w:r>
        <w:rPr>
          <w:sz w:val="28"/>
          <w:szCs w:val="24"/>
          <w:highlight w:val="white"/>
          <w:lang w:eastAsia="en-US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4"/>
          <w:highlight w:val="white"/>
        </w:rPr>
      </w:r>
      <w:r>
        <w:rPr>
          <w:sz w:val="28"/>
          <w:szCs w:val="24"/>
          <w:highlight w:val="white"/>
        </w:rPr>
      </w:r>
    </w:p>
    <w:p>
      <w:pPr>
        <w:ind w:firstLine="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38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38" w:lineRule="exact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И.о.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Главы города Перми                                                                           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Я.В. Фурман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5"/>
      </w:rPr>
      <w:framePr w:wrap="around" w:vAnchor="text" w:hAnchor="margin" w:xAlign="center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>
      <w:rPr>
        <w:rStyle w:val="885"/>
      </w:rPr>
    </w:r>
    <w:r>
      <w:rPr>
        <w:rStyle w:val="885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8"/>
    <w:link w:val="876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8"/>
    <w:link w:val="877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5"/>
    <w:next w:val="875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5"/>
    <w:next w:val="875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5"/>
    <w:next w:val="875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5"/>
    <w:next w:val="875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5"/>
    <w:next w:val="875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5"/>
    <w:next w:val="875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6"/>
    <w:uiPriority w:val="99"/>
  </w:style>
  <w:style w:type="character" w:styleId="731">
    <w:name w:val="Footer Char"/>
    <w:basedOn w:val="878"/>
    <w:link w:val="884"/>
    <w:uiPriority w:val="99"/>
  </w:style>
  <w:style w:type="character" w:styleId="732">
    <w:name w:val="Caption Char"/>
    <w:basedOn w:val="881"/>
    <w:link w:val="884"/>
    <w:uiPriority w:val="99"/>
  </w:style>
  <w:style w:type="table" w:styleId="733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basedOn w:val="878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basedOn w:val="878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paragraph" w:styleId="876">
    <w:name w:val="Heading 1"/>
    <w:basedOn w:val="875"/>
    <w:next w:val="875"/>
    <w:qFormat/>
    <w:pPr>
      <w:ind w:right="-1" w:firstLine="709"/>
      <w:jc w:val="both"/>
      <w:keepNext/>
      <w:outlineLvl w:val="0"/>
    </w:pPr>
    <w:rPr>
      <w:sz w:val="24"/>
    </w:rPr>
  </w:style>
  <w:style w:type="paragraph" w:styleId="877">
    <w:name w:val="Heading 2"/>
    <w:basedOn w:val="875"/>
    <w:next w:val="875"/>
    <w:qFormat/>
    <w:pPr>
      <w:ind w:right="-1"/>
      <w:jc w:val="both"/>
      <w:keepNext/>
      <w:outlineLvl w:val="1"/>
    </w:pPr>
    <w:rPr>
      <w:sz w:val="24"/>
    </w:rPr>
  </w:style>
  <w:style w:type="character" w:styleId="878" w:default="1">
    <w:name w:val="Default Paragraph Font"/>
    <w:semiHidden/>
  </w:style>
  <w:style w:type="table" w:styleId="879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semiHidden/>
  </w:style>
  <w:style w:type="paragraph" w:styleId="881">
    <w:name w:val="Caption"/>
    <w:basedOn w:val="875"/>
    <w:next w:val="875"/>
    <w:link w:val="73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2">
    <w:name w:val="Body Text"/>
    <w:basedOn w:val="875"/>
    <w:link w:val="910"/>
    <w:pPr>
      <w:ind w:right="3117"/>
    </w:pPr>
    <w:rPr>
      <w:rFonts w:ascii="Courier New" w:hAnsi="Courier New"/>
      <w:sz w:val="26"/>
    </w:rPr>
  </w:style>
  <w:style w:type="paragraph" w:styleId="883">
    <w:name w:val="Body Text Indent"/>
    <w:basedOn w:val="875"/>
    <w:pPr>
      <w:ind w:right="-1"/>
      <w:jc w:val="both"/>
    </w:pPr>
    <w:rPr>
      <w:sz w:val="26"/>
    </w:rPr>
  </w:style>
  <w:style w:type="paragraph" w:styleId="884">
    <w:name w:val="Footer"/>
    <w:basedOn w:val="875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85">
    <w:name w:val="page number"/>
    <w:basedOn w:val="878"/>
  </w:style>
  <w:style w:type="paragraph" w:styleId="886">
    <w:name w:val="Header"/>
    <w:basedOn w:val="875"/>
    <w:link w:val="889"/>
    <w:uiPriority w:val="99"/>
    <w:pPr>
      <w:tabs>
        <w:tab w:val="center" w:pos="4153" w:leader="none"/>
        <w:tab w:val="right" w:pos="8306" w:leader="none"/>
      </w:tabs>
    </w:pPr>
  </w:style>
  <w:style w:type="paragraph" w:styleId="887">
    <w:name w:val="Balloon Text"/>
    <w:basedOn w:val="875"/>
    <w:link w:val="888"/>
    <w:uiPriority w:val="99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886"/>
    <w:uiPriority w:val="99"/>
  </w:style>
  <w:style w:type="numbering" w:styleId="890" w:customStyle="1">
    <w:name w:val="Нет списка1"/>
    <w:next w:val="880"/>
    <w:uiPriority w:val="99"/>
    <w:semiHidden/>
    <w:unhideWhenUsed/>
  </w:style>
  <w:style w:type="paragraph" w:styleId="89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2">
    <w:name w:val="Hyperlink"/>
    <w:uiPriority w:val="99"/>
    <w:unhideWhenUsed/>
    <w:rPr>
      <w:color w:val="0000ff"/>
      <w:u w:val="single"/>
    </w:rPr>
  </w:style>
  <w:style w:type="character" w:styleId="893">
    <w:name w:val="FollowedHyperlink"/>
    <w:uiPriority w:val="99"/>
    <w:unhideWhenUsed/>
    <w:rPr>
      <w:color w:val="800080"/>
      <w:u w:val="single"/>
    </w:rPr>
  </w:style>
  <w:style w:type="paragraph" w:styleId="894" w:customStyle="1">
    <w:name w:val="xl65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7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6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69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0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 w:customStyle="1">
    <w:name w:val="xl71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2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3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4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5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6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7"/>
    <w:basedOn w:val="87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8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9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Форма"/>
    <w:rPr>
      <w:sz w:val="28"/>
      <w:szCs w:val="28"/>
    </w:rPr>
  </w:style>
  <w:style w:type="character" w:styleId="910" w:customStyle="1">
    <w:name w:val="Основной текст Знак"/>
    <w:link w:val="882"/>
    <w:rPr>
      <w:rFonts w:ascii="Courier New" w:hAnsi="Courier New"/>
      <w:sz w:val="26"/>
    </w:rPr>
  </w:style>
  <w:style w:type="paragraph" w:styleId="911" w:customStyle="1">
    <w:name w:val="ConsPlusNormal"/>
    <w:rPr>
      <w:sz w:val="28"/>
      <w:szCs w:val="28"/>
    </w:rPr>
  </w:style>
  <w:style w:type="numbering" w:styleId="912" w:customStyle="1">
    <w:name w:val="Нет списка11"/>
    <w:next w:val="880"/>
    <w:uiPriority w:val="99"/>
    <w:semiHidden/>
    <w:unhideWhenUsed/>
  </w:style>
  <w:style w:type="numbering" w:styleId="913" w:customStyle="1">
    <w:name w:val="Нет списка111"/>
    <w:next w:val="880"/>
    <w:uiPriority w:val="99"/>
    <w:semiHidden/>
    <w:unhideWhenUsed/>
  </w:style>
  <w:style w:type="paragraph" w:styleId="914" w:customStyle="1">
    <w:name w:val="font5"/>
    <w:basedOn w:val="8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5" w:customStyle="1">
    <w:name w:val="xl8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1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2"/>
    <w:basedOn w:val="87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8">
    <w:name w:val="Table Grid"/>
    <w:basedOn w:val="879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 w:customStyle="1">
    <w:name w:val="xl8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87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87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87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87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87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87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87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87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87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87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87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880"/>
    <w:uiPriority w:val="99"/>
    <w:semiHidden/>
    <w:unhideWhenUsed/>
  </w:style>
  <w:style w:type="numbering" w:styleId="963" w:customStyle="1">
    <w:name w:val="Нет списка3"/>
    <w:next w:val="880"/>
    <w:uiPriority w:val="99"/>
    <w:semiHidden/>
    <w:unhideWhenUsed/>
  </w:style>
  <w:style w:type="paragraph" w:styleId="964" w:customStyle="1">
    <w:name w:val="font6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8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8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880"/>
    <w:uiPriority w:val="99"/>
    <w:semiHidden/>
    <w:unhideWhenUsed/>
  </w:style>
  <w:style w:type="paragraph" w:styleId="968">
    <w:name w:val="List Paragraph"/>
    <w:basedOn w:val="8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9" w:customStyle="1">
    <w:name w:val="Нижний колонтитул Знак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31</cp:revision>
  <dcterms:created xsi:type="dcterms:W3CDTF">2024-10-25T06:26:00Z</dcterms:created>
  <dcterms:modified xsi:type="dcterms:W3CDTF">2025-03-27T08:53:42Z</dcterms:modified>
</cp:coreProperties>
</file>