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  <w:br/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  <w:br/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изменения в статью 49 Правил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, </w:t>
        <w:br/>
        <w:t xml:space="preserve">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 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31-07-1-3исх-114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</w:t>
        <w:br/>
        <w:t xml:space="preserve">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установления границ территориальной зоны объектов дошкольного, начального и среднего общего образования (ЦС-5)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территорий </w:t>
        <w:br/>
        <w:t xml:space="preserve">в </w:t>
      </w:r>
      <w:r>
        <w:rPr>
          <w:sz w:val="28"/>
          <w:szCs w:val="28"/>
        </w:rPr>
        <w:t xml:space="preserve">Дзержинском районе 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перечня территориальных зон</w:t>
      </w:r>
      <w:r>
        <w:rPr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установленного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новой территори</w:t>
      </w:r>
      <w:r>
        <w:rPr>
          <w:sz w:val="28"/>
          <w:szCs w:val="28"/>
        </w:rPr>
        <w:t xml:space="preserve">альной зоной </w:t>
      </w:r>
      <w:r>
        <w:rPr>
          <w:sz w:val="28"/>
          <w:szCs w:val="28"/>
        </w:rPr>
        <w:t xml:space="preserve">объектов дошкольного, начального и среднего общего образования (ЦС-5)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</w:t>
      </w: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дополнения </w:t>
      </w:r>
      <w:r>
        <w:rPr>
          <w:color w:val="000000"/>
          <w:sz w:val="28"/>
          <w:szCs w:val="28"/>
        </w:rPr>
        <w:t xml:space="preserve">градостроительн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ов, </w:t>
      </w:r>
      <w:r>
        <w:rPr>
          <w:rFonts w:eastAsia="Arial"/>
          <w:sz w:val="28"/>
          <w:szCs w:val="28"/>
        </w:rPr>
        <w:t xml:space="preserve">установленных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52.2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 градостроительными регламентами </w:t>
      </w:r>
      <w:r>
        <w:rPr>
          <w:sz w:val="28"/>
          <w:szCs w:val="28"/>
        </w:rPr>
        <w:t xml:space="preserve">территориальной з</w:t>
      </w:r>
      <w:r>
        <w:rPr>
          <w:sz w:val="28"/>
          <w:szCs w:val="28"/>
        </w:rPr>
        <w:t xml:space="preserve">оны объектов дошкольного, начального и среднего общего образования (ЦС-5)</w:t>
      </w:r>
      <w:r>
        <w:rPr>
          <w:rFonts w:eastAsia="Arial"/>
          <w:sz w:val="28"/>
          <w:szCs w:val="28"/>
        </w:rPr>
        <w:t xml:space="preserve">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11 апреля 2025 г. </w:t>
      </w:r>
      <w:r>
        <w:rPr>
          <w:sz w:val="28"/>
          <w:szCs w:val="28"/>
        </w:rPr>
        <w:br/>
        <w:t xml:space="preserve">по 17 апреля 2025</w:t>
      </w:r>
      <w:r>
        <w:rPr>
          <w:sz w:val="28"/>
          <w:szCs w:val="28"/>
        </w:rPr>
        <w:t xml:space="preserve"> г.: понедельник</w:t>
      </w:r>
      <w:r>
        <w:rPr>
          <w:sz w:val="28"/>
          <w:szCs w:val="28"/>
        </w:rPr>
        <w:t xml:space="preserve">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17.00 час. до 17.20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14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д.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14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15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д. 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15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д.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15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д.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16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16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д.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  <w:br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11 апреля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17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17 апреля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</w:t>
        <w:br/>
        <w:t xml:space="preserve">по адресу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:</w:t>
      </w:r>
      <w:r>
        <w:rPr>
          <w:rFonts w:ascii="Arial" w:hAnsi="Arial" w:cs="Arial"/>
          <w:color w:val="000000"/>
          <w:sz w:val="23"/>
          <w:szCs w:val="23"/>
          <w:highlight w:val="white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27</cp:revision>
  <dcterms:created xsi:type="dcterms:W3CDTF">2024-11-20T04:28:00Z</dcterms:created>
  <dcterms:modified xsi:type="dcterms:W3CDTF">2025-04-01T12:20:59Z</dcterms:modified>
</cp:coreProperties>
</file>