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7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43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7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43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</w:t>
        <w:br/>
        <w:t xml:space="preserve">администрации города Перми от 03.09.2019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№ 522 «Об утверждении Регламента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функциональных </w:t>
        <w:br/>
        <w:t xml:space="preserve">и территориальных органов администрации </w:t>
        <w:br/>
        <w:t xml:space="preserve">города Перми при распределении и расходовании </w:t>
        <w:br/>
        <w:t xml:space="preserve">средств </w:t>
      </w:r>
      <w:r>
        <w:rPr>
          <w:b/>
          <w:sz w:val="28"/>
          <w:szCs w:val="28"/>
        </w:rPr>
        <w:t xml:space="preserve">бюджета Пермского края на выполнение </w:t>
        <w:br/>
        <w:t xml:space="preserve">государственных полномочий по образованию </w:t>
        <w:br/>
        <w:t xml:space="preserve">комиссий по делам несовершеннолетних и защите </w:t>
        <w:br/>
        <w:t xml:space="preserve">их прав и организации их деятельности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24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 соответствии с </w:t>
      </w:r>
      <w:r>
        <w:rPr>
          <w:sz w:val="28"/>
          <w:szCs w:val="28"/>
          <w:highlight w:val="none"/>
        </w:rPr>
        <w:t xml:space="preserve">Уставом города Перми,</w:t>
      </w:r>
      <w:r>
        <w:rPr>
          <w:sz w:val="28"/>
          <w:szCs w:val="28"/>
          <w:highlight w:val="none"/>
        </w:rPr>
        <w:t xml:space="preserve"> решением Пермской городской Думы от 12 сентября 2006 г. № 221 «О департаменте социальной политики администрации города Перми»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администрация города Перми </w:t>
      </w: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изменения в </w:t>
      </w:r>
      <w:r>
        <w:rPr>
          <w:sz w:val="28"/>
          <w:szCs w:val="28"/>
          <w:highlight w:val="none"/>
        </w:rPr>
        <w:t xml:space="preserve">постановление администрации города Перми </w:t>
        <w:br/>
        <w:t xml:space="preserve">от 03 сентября 2019 г. № 522 «Об утверждении Регламента взаимодействия функциональных и территориальных органо</w:t>
      </w:r>
      <w:r>
        <w:rPr>
          <w:sz w:val="28"/>
          <w:szCs w:val="28"/>
          <w:highlight w:val="none"/>
        </w:rPr>
        <w:t xml:space="preserve">в </w:t>
      </w:r>
      <w:r>
        <w:rPr>
          <w:sz w:val="28"/>
          <w:szCs w:val="28"/>
          <w:highlight w:val="none"/>
        </w:rPr>
        <w:t xml:space="preserve">администрации города Перми при распределении и расходовании средств бюджета Пермского края на выполнение </w:t>
      </w:r>
      <w:r>
        <w:rPr>
          <w:sz w:val="28"/>
          <w:szCs w:val="28"/>
          <w:highlight w:val="none"/>
        </w:rPr>
        <w:t xml:space="preserve">государственных полномочий по образованию комиссий по делам несовершеннолетних и защите их прав и организации их деятельности»</w:t>
      </w:r>
      <w:r>
        <w:rPr>
          <w:sz w:val="28"/>
          <w:szCs w:val="28"/>
          <w:highlight w:val="none"/>
        </w:rPr>
        <w:t xml:space="preserve">, изложив преамбулу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В с</w:t>
      </w:r>
      <w:r>
        <w:rPr>
          <w:sz w:val="28"/>
          <w:szCs w:val="28"/>
          <w:highlight w:val="none"/>
        </w:rPr>
        <w:t xml:space="preserve">оответствии с Законом Пермского края от 19 декабря 2006 г. № 44-КЗ </w:t>
        <w:br/>
        <w:t xml:space="preserve">«О наделении органов местного самоуправления городских округов </w:t>
        <w:br/>
        <w:t xml:space="preserve">и муниципальных округов государственными полномочиями по образованию комиссий по делам несовершеннолетних и защите их прав и</w:t>
      </w:r>
      <w:r>
        <w:rPr>
          <w:sz w:val="28"/>
          <w:szCs w:val="28"/>
          <w:highlight w:val="none"/>
        </w:rPr>
        <w:t xml:space="preserve"> ор</w:t>
      </w:r>
      <w:r>
        <w:rPr>
          <w:sz w:val="28"/>
          <w:szCs w:val="28"/>
          <w:highlight w:val="none"/>
        </w:rPr>
        <w:t xml:space="preserve">ганизации </w:t>
        <w:br/>
        <w:t xml:space="preserve">их деятельности», Указом губернатора Пермского края от 16 мая 2006 г. № 82 </w:t>
        <w:br/>
        <w:t xml:space="preserve">«О порядке передачи средств бюджета Пермского края бюджетам муниципальных районов и городских округов Пермского края на выполнение государственных полномочий по образова</w:t>
      </w:r>
      <w:r>
        <w:rPr>
          <w:sz w:val="28"/>
          <w:szCs w:val="28"/>
          <w:highlight w:val="none"/>
        </w:rPr>
        <w:t xml:space="preserve">нию комиссий по делам несовершеннолетних и защите </w:t>
        <w:br/>
        <w:t xml:space="preserve">их прав и организации их деятельности», Уставом города Перми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администрация города Перми ПОСТАНОВЛЯЕТ:».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 Внести в Регламент взаимодействия функциональных и террито</w:t>
      </w:r>
      <w:r>
        <w:rPr>
          <w:sz w:val="28"/>
          <w:szCs w:val="28"/>
          <w:highlight w:val="none"/>
        </w:rPr>
        <w:t xml:space="preserve">риальных органов администрации города Перми при распределении и расходовании средств бюджета</w:t>
      </w:r>
      <w:r>
        <w:rPr>
          <w:sz w:val="28"/>
          <w:szCs w:val="28"/>
          <w:highlight w:val="none"/>
        </w:rPr>
        <w:t xml:space="preserve"> Пермско</w:t>
      </w:r>
      <w:r>
        <w:rPr>
          <w:sz w:val="28"/>
          <w:szCs w:val="28"/>
          <w:highlight w:val="none"/>
        </w:rPr>
        <w:t xml:space="preserve">г</w:t>
      </w:r>
      <w:r>
        <w:rPr>
          <w:sz w:val="28"/>
          <w:szCs w:val="28"/>
          <w:highlight w:val="none"/>
        </w:rPr>
        <w:t xml:space="preserve">о края на выполнение государственных полномочий </w:t>
        <w:br/>
        <w:t xml:space="preserve">по образованию комиссий по делам несовершеннолетних и защите их прав </w:t>
        <w:br/>
        <w:t xml:space="preserve">и организации их деятельности, утвержденный постановлением администрации города Перми от 03 сентября 2019 г. № 522,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2.1. в пункте 2 слова «муниципальных районов и городских» заменить словами «</w:t>
      </w:r>
      <w:r>
        <w:rPr>
          <w:sz w:val="28"/>
          <w:szCs w:val="28"/>
          <w:highlight w:val="none"/>
        </w:rPr>
        <w:t xml:space="preserve">городских округов и муниципальных округов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2.2. пункт 3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</w:t>
      </w:r>
      <w:r>
        <w:rPr>
          <w:sz w:val="28"/>
          <w:szCs w:val="28"/>
          <w:highlight w:val="none"/>
        </w:rPr>
        <w:t xml:space="preserve">3. Главными распорядителями бюджетных средств субвенции являются  территориальные органы администрации города Перми (далее – ТО).</w:t>
      </w:r>
      <w:r>
        <w:rPr>
          <w:sz w:val="28"/>
          <w:szCs w:val="28"/>
          <w:highlight w:val="none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2.3. </w:t>
      </w:r>
      <w:r>
        <w:rPr>
          <w:sz w:val="28"/>
          <w:szCs w:val="28"/>
          <w:highlight w:val="none"/>
        </w:rPr>
        <w:t xml:space="preserve">в пункте 4 аббревиатуру «ДСП» заменить словами «Департамент социальной политики администрации города Перми (далее – ДСП)»;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2.4. в пункте 4.1 слова «между ГРБС»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2.5. пункт 4.3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«4.3. направляет сводную информацию о выполнении государственных полномочий по образованию комиссий по делам несовершеннолетних и защите </w:t>
        <w:br/>
        <w:t xml:space="preserve">их прав и организации их деятельности по состоянию на 01 апреля</w:t>
      </w:r>
      <w:r>
        <w:rPr>
          <w:sz w:val="28"/>
          <w:szCs w:val="28"/>
          <w:highlight w:val="none"/>
        </w:rPr>
        <w:t xml:space="preserve">, 01 июля, </w:t>
        <w:br/>
        <w:t xml:space="preserve">01 ок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ября, 01 января не позднее 10 числа месяца, следующего за отчетным периодом (квартал, год), в уполномоченный орган Пермского края по форме, установленной приложением 3 к Порядку передачи и использования средств бюджета Пермского края бюджетам муниципальных</w:t>
      </w:r>
      <w:r>
        <w:rPr>
          <w:sz w:val="28"/>
          <w:szCs w:val="28"/>
          <w:highlight w:val="none"/>
        </w:rPr>
        <w:t xml:space="preserve"> районов и городск</w:t>
      </w:r>
      <w:r>
        <w:rPr>
          <w:sz w:val="28"/>
          <w:szCs w:val="28"/>
          <w:highlight w:val="none"/>
        </w:rPr>
        <w:t xml:space="preserve">их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кругов </w:t>
        <w:br/>
        <w:t xml:space="preserve">Пермского края на выполнение государственных полномочий по образованию комиссий по делам несовершеннолетних и защите их прав и организации их деятельности, утвержденному Указом губернатора Пермского края от 16 мая </w:t>
        <w:br/>
        <w:t xml:space="preserve">2006 г. № 82 (далее – Порядок);»;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2.6. пункт 4.4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2.7.</w:t>
      </w:r>
      <w:r>
        <w:rPr>
          <w:sz w:val="28"/>
          <w:szCs w:val="28"/>
          <w:highlight w:val="none"/>
        </w:rPr>
        <w:t xml:space="preserve"> пункт 4.5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 пункт 4.7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2.9. пункт 4.8 изложить в следующей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«4.8. осуществл</w:t>
      </w:r>
      <w:r>
        <w:rPr>
          <w:sz w:val="28"/>
          <w:szCs w:val="28"/>
          <w:highlight w:val="none"/>
        </w:rPr>
        <w:t xml:space="preserve">яет </w:t>
      </w:r>
      <w:r>
        <w:rPr>
          <w:sz w:val="28"/>
          <w:szCs w:val="28"/>
          <w:highlight w:val="none"/>
        </w:rPr>
        <w:t xml:space="preserve">координацию и</w:t>
      </w:r>
      <w:r>
        <w:rPr>
          <w:sz w:val="28"/>
          <w:szCs w:val="28"/>
          <w:highlight w:val="none"/>
        </w:rPr>
        <w:t xml:space="preserve"> мониторинг распределения и учета</w:t>
      </w:r>
      <w:r>
        <w:rPr>
          <w:sz w:val="28"/>
          <w:szCs w:val="28"/>
          <w:highlight w:val="none"/>
        </w:rPr>
        <w:t xml:space="preserve"> средств субвенций с использованием автоматизированных систем </w:t>
      </w:r>
      <w:r>
        <w:rPr>
          <w:sz w:val="28"/>
          <w:szCs w:val="28"/>
          <w:highlight w:val="none"/>
        </w:rPr>
        <w:t xml:space="preserve">исполнения </w:t>
        <w:br/>
        <w:t xml:space="preserve">и планирования бюджета «АЦК-финансы», «АЦК-планирование».»;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2.10. пункт 5.2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«5.2. </w:t>
      </w:r>
      <w:r>
        <w:rPr>
          <w:sz w:val="28"/>
          <w:szCs w:val="28"/>
          <w:highlight w:val="none"/>
        </w:rPr>
        <w:t xml:space="preserve">направляют информацию </w:t>
      </w:r>
      <w:r>
        <w:rPr>
          <w:sz w:val="28"/>
          <w:szCs w:val="28"/>
          <w:highlight w:val="none"/>
        </w:rPr>
        <w:t xml:space="preserve">о средствах, передаваемых из бюджета Пермского края в бюджеты муниципальных районов (городских округов) Пермского края на обеспечение деятельности комиссий по делам несовершеннолетних и защите их прав, и расходовании данных средств </w:t>
        <w:br/>
      </w:r>
      <w:r>
        <w:rPr>
          <w:sz w:val="28"/>
          <w:szCs w:val="28"/>
          <w:highlight w:val="none"/>
        </w:rPr>
        <w:t xml:space="preserve">по состоянию на 01 апреля</w:t>
      </w:r>
      <w:r>
        <w:rPr>
          <w:sz w:val="28"/>
          <w:szCs w:val="28"/>
          <w:highlight w:val="none"/>
        </w:rPr>
        <w:t xml:space="preserve">, 01 июля, 01 октября, 01 января не позднее 10 числа месяца, следующего за отчетным периодом (квартал, год), </w:t>
      </w:r>
      <w:r>
        <w:rPr>
          <w:sz w:val="28"/>
          <w:szCs w:val="28"/>
          <w:highlight w:val="none"/>
        </w:rPr>
        <w:t xml:space="preserve">в уполномоченный орган </w:t>
      </w:r>
      <w:r>
        <w:rPr>
          <w:sz w:val="28"/>
          <w:szCs w:val="28"/>
          <w:highlight w:val="none"/>
        </w:rPr>
        <w:t xml:space="preserve">Пермского края</w:t>
      </w:r>
      <w:r>
        <w:rPr>
          <w:sz w:val="28"/>
          <w:szCs w:val="28"/>
          <w:highlight w:val="none"/>
        </w:rPr>
        <w:t xml:space="preserve"> по форме, установленной приложением 2 к Порядку;</w:t>
      </w:r>
      <w:r>
        <w:rPr>
          <w:sz w:val="28"/>
          <w:szCs w:val="28"/>
          <w:highlight w:val="none"/>
        </w:rPr>
        <w:t xml:space="preserve">»</w:t>
      </w:r>
      <w:r>
        <w:rPr>
          <w:sz w:val="28"/>
          <w:szCs w:val="28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2.11. пункт 5.3 признать утратившим силу;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2.12. пункт 5.4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2.13. дополнить пунктом 5.6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«5.6. </w:t>
      </w:r>
      <w:r>
        <w:rPr>
          <w:sz w:val="28"/>
          <w:szCs w:val="28"/>
          <w:highlight w:val="none"/>
        </w:rPr>
        <w:t xml:space="preserve">направляют информацию о выполнении государственных полномочий по образованию комиссий по делам несовершеннолетних и защите </w:t>
        <w:br/>
        <w:t xml:space="preserve">их прав и организации их деятельности по состоянию на 01 апреля</w:t>
      </w:r>
      <w:r>
        <w:rPr>
          <w:sz w:val="28"/>
          <w:szCs w:val="28"/>
          <w:highlight w:val="none"/>
        </w:rPr>
        <w:t xml:space="preserve">, 01 июля, </w:t>
        <w:br/>
        <w:t xml:space="preserve">01 ок</w:t>
      </w:r>
      <w:r>
        <w:rPr>
          <w:sz w:val="28"/>
          <w:szCs w:val="28"/>
          <w:highlight w:val="none"/>
        </w:rPr>
        <w:t xml:space="preserve">т</w:t>
      </w:r>
      <w:r>
        <w:rPr>
          <w:sz w:val="28"/>
          <w:szCs w:val="28"/>
          <w:highlight w:val="none"/>
        </w:rPr>
        <w:t xml:space="preserve">ября, 01 января не позднее 05 числа месяца, следующего за отчетным периодом (квартал, год), в ДСП по форме, установленной приложением </w:t>
        <w:br/>
        <w:t xml:space="preserve">3 к Порядку;»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2.14. дополнить пунктом 5.7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none"/>
        </w:rPr>
        <w:t xml:space="preserve">«5.7. определяют штатную численность специалистов, осуществляющих деятельность комиссий по делам несовершеннолетних и защите их прав</w:t>
      </w:r>
      <w:r>
        <w:rPr>
          <w:sz w:val="28"/>
          <w:szCs w:val="28"/>
          <w:highlight w:val="none"/>
        </w:rPr>
        <w:t xml:space="preserve">, в пределах бюджетных ассигнований, выделяемых ТО, на выполнение государственных полномочий по образованию комиссий по делам несовершеннолетних и защите </w:t>
        <w:br/>
        <w:t xml:space="preserve">их прав и организации их деятельности</w:t>
      </w:r>
      <w:r>
        <w:rPr>
          <w:sz w:val="28"/>
          <w:szCs w:val="28"/>
          <w:highlight w:val="none"/>
        </w:rPr>
        <w:t xml:space="preserve">;»;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2.15. дополнить пунктом 5.8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«5.8. обеспечивает эффективное и целевое использование средств субвенции.».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</w:t>
      </w:r>
      <w:r>
        <w:rPr>
          <w:sz w:val="28"/>
        </w:rPr>
        <w:t xml:space="preserve">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4. Управлению по общим вопросам администрации города Перми обеспечить обнародовани</w:t>
      </w:r>
      <w:r>
        <w:rPr>
          <w:sz w:val="28"/>
        </w:rPr>
        <w:t xml:space="preserve">е</w:t>
      </w:r>
      <w:r>
        <w:rPr>
          <w:sz w:val="28"/>
        </w:rPr>
        <w:t xml:space="preserve"> настоящего постановления посредством официального опубликования в печатном средстве массовой информации «Официал</w:t>
      </w:r>
      <w:r>
        <w:rPr>
          <w:sz w:val="28"/>
        </w:rPr>
        <w:t xml:space="preserve">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</w:rPr>
        <w:t xml:space="preserve">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Мальцеву Е.Д.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p>
      <w:pPr>
        <w:pStyle w:val="923"/>
        <w:ind w:right="0"/>
        <w:tabs>
          <w:tab w:val="right" w:pos="9921" w:leader="none"/>
        </w:tabs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города Перми</w:t>
      </w:r>
      <w:r>
        <w:rPr>
          <w:rFonts w:ascii="Times New Roman" w:hAnsi="Times New Roman"/>
          <w:sz w:val="28"/>
          <w:lang w:val="ru-RU"/>
        </w:rPr>
        <w:tab/>
        <w:t xml:space="preserve">Э.О. Соснин</w:t>
      </w:r>
      <w:r>
        <w:rPr>
          <w:rFonts w:ascii="Times New Roman" w:hAnsi="Times New Roman"/>
          <w:sz w:val="28"/>
          <w:lang w:val="ru-RU"/>
        </w:rPr>
      </w:r>
      <w:r>
        <w:rPr>
          <w:rFonts w:ascii="Times New Roman" w:hAnsi="Times New Roman"/>
          <w:sz w:val="28"/>
          <w:lang w:val="ru-RU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7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  <w:rPr>
        <w:rStyle w:val="925"/>
      </w:rPr>
      <w:framePr w:wrap="around" w:vAnchor="text" w:hAnchor="margin" w:xAlign="center" w:y="1"/>
    </w:pPr>
    <w:r>
      <w:rPr>
        <w:rStyle w:val="925"/>
      </w:rPr>
      <w:fldChar w:fldCharType="begin"/>
    </w:r>
    <w:r>
      <w:rPr>
        <w:rStyle w:val="925"/>
      </w:rPr>
      <w:instrText xml:space="preserve">PAGE  </w:instrText>
    </w:r>
    <w:r>
      <w:rPr>
        <w:rStyle w:val="925"/>
      </w:rPr>
      <w:fldChar w:fldCharType="end"/>
    </w:r>
    <w:r>
      <w:rPr>
        <w:rStyle w:val="925"/>
      </w:rPr>
    </w:r>
    <w:r>
      <w:rPr>
        <w:rStyle w:val="925"/>
      </w:rPr>
    </w:r>
  </w:p>
  <w:p>
    <w:pPr>
      <w:pStyle w:val="77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3" w:hanging="109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4" w:hanging="106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pStyle w:val="1006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28">
    <w:name w:val="Heading 3 Char"/>
    <w:basedOn w:val="751"/>
    <w:link w:val="744"/>
    <w:uiPriority w:val="9"/>
    <w:rPr>
      <w:rFonts w:ascii="Arial" w:hAnsi="Arial" w:eastAsia="Arial" w:cs="Arial"/>
      <w:sz w:val="30"/>
      <w:szCs w:val="30"/>
    </w:rPr>
  </w:style>
  <w:style w:type="character" w:styleId="729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30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31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32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34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35">
    <w:name w:val="Title Char"/>
    <w:basedOn w:val="751"/>
    <w:link w:val="765"/>
    <w:uiPriority w:val="10"/>
    <w:rPr>
      <w:sz w:val="48"/>
      <w:szCs w:val="48"/>
    </w:rPr>
  </w:style>
  <w:style w:type="character" w:styleId="736">
    <w:name w:val="Subtitle Char"/>
    <w:basedOn w:val="751"/>
    <w:link w:val="767"/>
    <w:uiPriority w:val="11"/>
    <w:rPr>
      <w:sz w:val="24"/>
      <w:szCs w:val="24"/>
    </w:rPr>
  </w:style>
  <w:style w:type="character" w:styleId="737">
    <w:name w:val="Quote Char"/>
    <w:link w:val="769"/>
    <w:uiPriority w:val="29"/>
    <w:rPr>
      <w:i/>
    </w:rPr>
  </w:style>
  <w:style w:type="character" w:styleId="738">
    <w:name w:val="Intense Quote Char"/>
    <w:link w:val="771"/>
    <w:uiPriority w:val="30"/>
    <w:rPr>
      <w:i/>
    </w:rPr>
  </w:style>
  <w:style w:type="character" w:styleId="739">
    <w:name w:val="Footnote Text Char"/>
    <w:link w:val="906"/>
    <w:uiPriority w:val="99"/>
    <w:rPr>
      <w:sz w:val="18"/>
    </w:rPr>
  </w:style>
  <w:style w:type="character" w:styleId="740">
    <w:name w:val="Endnote Text Char"/>
    <w:link w:val="909"/>
    <w:uiPriority w:val="99"/>
    <w:rPr>
      <w:sz w:val="20"/>
    </w:rPr>
  </w:style>
  <w:style w:type="paragraph" w:styleId="741" w:default="1">
    <w:name w:val="Normal"/>
    <w:qFormat/>
    <w:rPr>
      <w:lang w:eastAsia="ru-RU"/>
    </w:rPr>
  </w:style>
  <w:style w:type="paragraph" w:styleId="742">
    <w:name w:val="Heading 1"/>
    <w:basedOn w:val="741"/>
    <w:next w:val="741"/>
    <w:link w:val="754"/>
    <w:qFormat/>
    <w:pPr>
      <w:ind w:right="-1" w:firstLine="709"/>
      <w:jc w:val="both"/>
      <w:keepNext/>
      <w:outlineLvl w:val="0"/>
    </w:pPr>
    <w:rPr>
      <w:sz w:val="24"/>
    </w:rPr>
  </w:style>
  <w:style w:type="paragraph" w:styleId="743">
    <w:name w:val="Heading 2"/>
    <w:basedOn w:val="741"/>
    <w:next w:val="741"/>
    <w:link w:val="755"/>
    <w:qFormat/>
    <w:pPr>
      <w:ind w:right="-1"/>
      <w:jc w:val="both"/>
      <w:keepNext/>
      <w:outlineLvl w:val="1"/>
    </w:pPr>
    <w:rPr>
      <w:sz w:val="24"/>
    </w:rPr>
  </w:style>
  <w:style w:type="paragraph" w:styleId="744">
    <w:name w:val="Heading 3"/>
    <w:basedOn w:val="741"/>
    <w:next w:val="741"/>
    <w:link w:val="7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5">
    <w:name w:val="Heading 4"/>
    <w:basedOn w:val="741"/>
    <w:next w:val="741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741"/>
    <w:next w:val="741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9">
    <w:name w:val="Heading 8"/>
    <w:basedOn w:val="741"/>
    <w:next w:val="741"/>
    <w:link w:val="7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741"/>
    <w:next w:val="741"/>
    <w:link w:val="7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Заголовок 1 Знак"/>
    <w:link w:val="742"/>
    <w:uiPriority w:val="9"/>
    <w:rPr>
      <w:rFonts w:ascii="Arial" w:hAnsi="Arial" w:eastAsia="Arial" w:cs="Arial"/>
      <w:sz w:val="40"/>
      <w:szCs w:val="40"/>
    </w:rPr>
  </w:style>
  <w:style w:type="character" w:styleId="755" w:customStyle="1">
    <w:name w:val="Заголовок 2 Знак"/>
    <w:link w:val="743"/>
    <w:uiPriority w:val="9"/>
    <w:rPr>
      <w:rFonts w:ascii="Arial" w:hAnsi="Arial" w:eastAsia="Arial" w:cs="Arial"/>
      <w:sz w:val="34"/>
    </w:rPr>
  </w:style>
  <w:style w:type="character" w:styleId="756" w:customStyle="1">
    <w:name w:val="Заголовок 3 Знак"/>
    <w:link w:val="744"/>
    <w:uiPriority w:val="9"/>
    <w:rPr>
      <w:rFonts w:ascii="Arial" w:hAnsi="Arial" w:eastAsia="Arial" w:cs="Arial"/>
      <w:sz w:val="30"/>
      <w:szCs w:val="30"/>
    </w:rPr>
  </w:style>
  <w:style w:type="character" w:styleId="757" w:customStyle="1">
    <w:name w:val="Заголовок 4 Знак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58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59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60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62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63">
    <w:name w:val="List Paragraph"/>
    <w:basedOn w:val="7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6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5">
    <w:name w:val="Title"/>
    <w:basedOn w:val="741"/>
    <w:next w:val="741"/>
    <w:link w:val="76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6" w:customStyle="1">
    <w:name w:val="Название Знак"/>
    <w:link w:val="765"/>
    <w:uiPriority w:val="10"/>
    <w:rPr>
      <w:sz w:val="48"/>
      <w:szCs w:val="48"/>
    </w:rPr>
  </w:style>
  <w:style w:type="paragraph" w:styleId="767">
    <w:name w:val="Subtitle"/>
    <w:basedOn w:val="741"/>
    <w:next w:val="741"/>
    <w:link w:val="768"/>
    <w:uiPriority w:val="11"/>
    <w:qFormat/>
    <w:pPr>
      <w:spacing w:before="200" w:after="200"/>
    </w:pPr>
    <w:rPr>
      <w:sz w:val="24"/>
      <w:szCs w:val="24"/>
    </w:rPr>
  </w:style>
  <w:style w:type="character" w:styleId="768" w:customStyle="1">
    <w:name w:val="Подзаголовок Знак"/>
    <w:link w:val="767"/>
    <w:uiPriority w:val="11"/>
    <w:rPr>
      <w:sz w:val="24"/>
      <w:szCs w:val="24"/>
    </w:rPr>
  </w:style>
  <w:style w:type="paragraph" w:styleId="769">
    <w:name w:val="Quote"/>
    <w:basedOn w:val="741"/>
    <w:next w:val="741"/>
    <w:link w:val="770"/>
    <w:uiPriority w:val="29"/>
    <w:qFormat/>
    <w:pPr>
      <w:ind w:left="720" w:right="720"/>
    </w:pPr>
    <w:rPr>
      <w:i/>
    </w:rPr>
  </w:style>
  <w:style w:type="character" w:styleId="770" w:customStyle="1">
    <w:name w:val="Цитата 2 Знак"/>
    <w:link w:val="769"/>
    <w:uiPriority w:val="29"/>
    <w:rPr>
      <w:i/>
    </w:rPr>
  </w:style>
  <w:style w:type="paragraph" w:styleId="771">
    <w:name w:val="Intense Quote"/>
    <w:basedOn w:val="741"/>
    <w:next w:val="741"/>
    <w:link w:val="77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 w:customStyle="1">
    <w:name w:val="Выделенная цитата Знак"/>
    <w:link w:val="771"/>
    <w:uiPriority w:val="30"/>
    <w:rPr>
      <w:i/>
    </w:rPr>
  </w:style>
  <w:style w:type="paragraph" w:styleId="773">
    <w:name w:val="Header"/>
    <w:basedOn w:val="741"/>
    <w:link w:val="928"/>
    <w:uiPriority w:val="99"/>
    <w:pPr>
      <w:tabs>
        <w:tab w:val="center" w:pos="4153" w:leader="none"/>
        <w:tab w:val="right" w:pos="8306" w:leader="none"/>
      </w:tabs>
    </w:pPr>
  </w:style>
  <w:style w:type="character" w:styleId="774" w:customStyle="1">
    <w:name w:val="Header Char"/>
    <w:uiPriority w:val="99"/>
  </w:style>
  <w:style w:type="paragraph" w:styleId="775">
    <w:name w:val="Footer"/>
    <w:basedOn w:val="741"/>
    <w:link w:val="1004"/>
    <w:uiPriority w:val="99"/>
    <w:pPr>
      <w:tabs>
        <w:tab w:val="center" w:pos="4153" w:leader="none"/>
        <w:tab w:val="right" w:pos="8306" w:leader="none"/>
      </w:tabs>
    </w:pPr>
  </w:style>
  <w:style w:type="character" w:styleId="776" w:customStyle="1">
    <w:name w:val="Footer Char"/>
    <w:uiPriority w:val="99"/>
  </w:style>
  <w:style w:type="paragraph" w:styleId="777">
    <w:name w:val="Caption"/>
    <w:basedOn w:val="741"/>
    <w:next w:val="741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8" w:customStyle="1">
    <w:name w:val="Caption Char"/>
    <w:uiPriority w:val="99"/>
  </w:style>
  <w:style w:type="table" w:styleId="779">
    <w:name w:val="Table Grid"/>
    <w:basedOn w:val="752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8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/>
      <w:u w:val="single"/>
    </w:rPr>
  </w:style>
  <w:style w:type="paragraph" w:styleId="906">
    <w:name w:val="footnote text"/>
    <w:basedOn w:val="741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uiPriority w:val="99"/>
    <w:unhideWhenUsed/>
    <w:rPr>
      <w:vertAlign w:val="superscript"/>
    </w:rPr>
  </w:style>
  <w:style w:type="paragraph" w:styleId="909">
    <w:name w:val="endnote text"/>
    <w:basedOn w:val="741"/>
    <w:link w:val="910"/>
    <w:uiPriority w:val="99"/>
    <w:semiHidden/>
    <w:unhideWhenUsed/>
  </w:style>
  <w:style w:type="character" w:styleId="910" w:customStyle="1">
    <w:name w:val="Текст концевой сноски Знак"/>
    <w:link w:val="909"/>
    <w:uiPriority w:val="99"/>
    <w:rPr>
      <w:sz w:val="20"/>
    </w:rPr>
  </w:style>
  <w:style w:type="character" w:styleId="911">
    <w:name w:val="endnote reference"/>
    <w:uiPriority w:val="99"/>
    <w:semiHidden/>
    <w:unhideWhenUsed/>
    <w:rPr>
      <w:vertAlign w:val="superscript"/>
    </w:rPr>
  </w:style>
  <w:style w:type="paragraph" w:styleId="912">
    <w:name w:val="toc 1"/>
    <w:basedOn w:val="741"/>
    <w:next w:val="741"/>
    <w:uiPriority w:val="39"/>
    <w:unhideWhenUsed/>
    <w:pPr>
      <w:spacing w:after="57"/>
    </w:pPr>
  </w:style>
  <w:style w:type="paragraph" w:styleId="913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14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15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16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17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18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19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20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21">
    <w:name w:val="TOC Heading"/>
    <w:uiPriority w:val="39"/>
    <w:unhideWhenUsed/>
  </w:style>
  <w:style w:type="paragraph" w:styleId="922">
    <w:name w:val="table of figures"/>
    <w:basedOn w:val="741"/>
    <w:next w:val="741"/>
    <w:uiPriority w:val="99"/>
    <w:unhideWhenUsed/>
  </w:style>
  <w:style w:type="paragraph" w:styleId="923">
    <w:name w:val="Body Text"/>
    <w:basedOn w:val="741"/>
    <w:link w:val="947"/>
    <w:pPr>
      <w:ind w:right="3117"/>
    </w:pPr>
    <w:rPr>
      <w:rFonts w:ascii="Courier New" w:hAnsi="Courier New"/>
      <w:sz w:val="26"/>
      <w:lang w:val="en-US" w:eastAsia="en-US"/>
    </w:rPr>
  </w:style>
  <w:style w:type="paragraph" w:styleId="924">
    <w:name w:val="Body Text Indent"/>
    <w:basedOn w:val="741"/>
    <w:pPr>
      <w:ind w:right="-1"/>
      <w:jc w:val="both"/>
    </w:pPr>
    <w:rPr>
      <w:sz w:val="26"/>
    </w:rPr>
  </w:style>
  <w:style w:type="character" w:styleId="925">
    <w:name w:val="page number"/>
    <w:basedOn w:val="751"/>
  </w:style>
  <w:style w:type="paragraph" w:styleId="926">
    <w:name w:val="Balloon Text"/>
    <w:basedOn w:val="741"/>
    <w:link w:val="927"/>
    <w:uiPriority w:val="99"/>
    <w:rPr>
      <w:rFonts w:ascii="Segoe UI" w:hAnsi="Segoe UI"/>
      <w:sz w:val="18"/>
      <w:szCs w:val="18"/>
      <w:lang w:val="en-US" w:eastAsia="en-US"/>
    </w:rPr>
  </w:style>
  <w:style w:type="character" w:styleId="927" w:customStyle="1">
    <w:name w:val="Текст выноски Знак"/>
    <w:link w:val="926"/>
    <w:uiPriority w:val="99"/>
    <w:rPr>
      <w:rFonts w:ascii="Segoe UI" w:hAnsi="Segoe UI" w:cs="Segoe UI"/>
      <w:sz w:val="18"/>
      <w:szCs w:val="18"/>
    </w:rPr>
  </w:style>
  <w:style w:type="character" w:styleId="928" w:customStyle="1">
    <w:name w:val="Верхний колонтитул Знак"/>
    <w:link w:val="773"/>
    <w:uiPriority w:val="99"/>
  </w:style>
  <w:style w:type="numbering" w:styleId="929" w:customStyle="1">
    <w:name w:val="Нет списка1"/>
    <w:next w:val="753"/>
    <w:uiPriority w:val="99"/>
    <w:semiHidden/>
    <w:unhideWhenUsed/>
  </w:style>
  <w:style w:type="character" w:styleId="930">
    <w:name w:val="FollowedHyperlink"/>
    <w:uiPriority w:val="99"/>
    <w:unhideWhenUsed/>
    <w:rPr>
      <w:color w:val="800080"/>
      <w:u w:val="single"/>
    </w:rPr>
  </w:style>
  <w:style w:type="paragraph" w:styleId="931" w:customStyle="1">
    <w:name w:val="xl65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 w:customStyle="1">
    <w:name w:val="xl6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74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rPr>
      <w:sz w:val="28"/>
      <w:szCs w:val="28"/>
      <w:lang w:eastAsia="ru-RU"/>
    </w:rPr>
  </w:style>
  <w:style w:type="character" w:styleId="947" w:customStyle="1">
    <w:name w:val="Основной текст Знак"/>
    <w:link w:val="923"/>
    <w:rPr>
      <w:rFonts w:ascii="Courier New" w:hAnsi="Courier New"/>
      <w:sz w:val="26"/>
    </w:rPr>
  </w:style>
  <w:style w:type="paragraph" w:styleId="948" w:customStyle="1">
    <w:name w:val="ConsPlusNormal"/>
    <w:rPr>
      <w:sz w:val="28"/>
      <w:szCs w:val="28"/>
      <w:lang w:eastAsia="ru-RU"/>
    </w:rPr>
  </w:style>
  <w:style w:type="numbering" w:styleId="949" w:customStyle="1">
    <w:name w:val="Нет списка11"/>
    <w:next w:val="753"/>
    <w:uiPriority w:val="99"/>
    <w:semiHidden/>
    <w:unhideWhenUsed/>
  </w:style>
  <w:style w:type="numbering" w:styleId="950" w:customStyle="1">
    <w:name w:val="Нет списка111"/>
    <w:next w:val="753"/>
    <w:uiPriority w:val="99"/>
    <w:semiHidden/>
    <w:unhideWhenUsed/>
  </w:style>
  <w:style w:type="paragraph" w:styleId="951" w:customStyle="1">
    <w:name w:val="font5"/>
    <w:basedOn w:val="74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52" w:customStyle="1">
    <w:name w:val="xl8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53" w:customStyle="1">
    <w:name w:val="xl81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54" w:customStyle="1">
    <w:name w:val="xl82"/>
    <w:basedOn w:val="74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55" w:customStyle="1">
    <w:name w:val="xl8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8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8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8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8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88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1" w:customStyle="1">
    <w:name w:val="xl89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0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5" w:customStyle="1">
    <w:name w:val="xl9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6" w:customStyle="1">
    <w:name w:val="xl94"/>
    <w:basedOn w:val="74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9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8" w:customStyle="1">
    <w:name w:val="xl9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9" w:customStyle="1">
    <w:name w:val="xl9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70" w:customStyle="1">
    <w:name w:val="xl98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71" w:customStyle="1">
    <w:name w:val="xl99"/>
    <w:basedOn w:val="74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72" w:customStyle="1">
    <w:name w:val="xl10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1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02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0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0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 w:customStyle="1">
    <w:name w:val="xl10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06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07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 w:customStyle="1">
    <w:name w:val="xl108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09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0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1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12"/>
    <w:basedOn w:val="74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85" w:customStyle="1">
    <w:name w:val="xl113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 w:customStyle="1">
    <w:name w:val="xl114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15"/>
    <w:basedOn w:val="74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8" w:customStyle="1">
    <w:name w:val="xl116"/>
    <w:basedOn w:val="74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9" w:customStyle="1">
    <w:name w:val="xl117"/>
    <w:basedOn w:val="74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0" w:customStyle="1">
    <w:name w:val="xl118"/>
    <w:basedOn w:val="74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1" w:customStyle="1">
    <w:name w:val="xl119"/>
    <w:basedOn w:val="74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2" w:customStyle="1">
    <w:name w:val="xl120"/>
    <w:basedOn w:val="74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3" w:customStyle="1">
    <w:name w:val="xl121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4" w:customStyle="1">
    <w:name w:val="xl122"/>
    <w:basedOn w:val="74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95" w:customStyle="1">
    <w:name w:val="xl123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6" w:customStyle="1">
    <w:name w:val="xl124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97" w:customStyle="1">
    <w:name w:val="xl125"/>
    <w:basedOn w:val="74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8" w:customStyle="1">
    <w:name w:val="Нет списка2"/>
    <w:next w:val="753"/>
    <w:uiPriority w:val="99"/>
    <w:semiHidden/>
    <w:unhideWhenUsed/>
  </w:style>
  <w:style w:type="numbering" w:styleId="999" w:customStyle="1">
    <w:name w:val="Нет списка3"/>
    <w:next w:val="753"/>
    <w:uiPriority w:val="99"/>
    <w:semiHidden/>
    <w:unhideWhenUsed/>
  </w:style>
  <w:style w:type="paragraph" w:styleId="1000" w:customStyle="1">
    <w:name w:val="font6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1" w:customStyle="1">
    <w:name w:val="font7"/>
    <w:basedOn w:val="7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02" w:customStyle="1">
    <w:name w:val="font8"/>
    <w:basedOn w:val="74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03" w:customStyle="1">
    <w:name w:val="Нет списка4"/>
    <w:next w:val="753"/>
    <w:uiPriority w:val="99"/>
    <w:semiHidden/>
    <w:unhideWhenUsed/>
  </w:style>
  <w:style w:type="character" w:styleId="1004" w:customStyle="1">
    <w:name w:val="Нижний колонтитул Знак"/>
    <w:link w:val="775"/>
    <w:uiPriority w:val="99"/>
  </w:style>
  <w:style w:type="paragraph" w:styleId="100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1006">
    <w:name w:val="List Bullet"/>
    <w:basedOn w:val="741"/>
    <w:pPr>
      <w:numPr>
        <w:ilvl w:val="0"/>
        <w:numId w:val="8"/>
      </w:numPr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46</cp:revision>
  <dcterms:created xsi:type="dcterms:W3CDTF">2025-01-17T04:16:00Z</dcterms:created>
  <dcterms:modified xsi:type="dcterms:W3CDTF">2025-04-01T10:48:16Z</dcterms:modified>
  <cp:version>786432</cp:version>
</cp:coreProperties>
</file>