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7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851"/>
              <w:spacing w:before="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51"/>
              <w:spacing w:before="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51"/>
              <w:spacing w:before="0" w:after="0" w:line="100" w:lineRule="atLeas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начальника департамента транспорта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851"/>
              <w:spacing w:before="0"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07.04.2025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059-12-01-04-2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ИЗМЕНЕНИЕ В УСТАВ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муниципального унитарного предприятия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«Пермгорэлектротранс»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</w:pPr>
      <w:r>
        <w:tab/>
      </w:r>
      <w:r/>
    </w:p>
    <w:p>
      <w:pPr>
        <w:pStyle w:val="851"/>
      </w:pPr>
      <w:r/>
      <w:r/>
    </w:p>
    <w:p>
      <w:pPr>
        <w:pStyle w:val="851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51"/>
      </w:pPr>
      <w:r/>
      <w:r/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Пермь, 2025</w:t>
      </w:r>
      <w: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ИЗМЕНЕНИЕ, КОТОРОЕ ВНОСИТСЯ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«ПЕРМГОРЭЛЕКТРОТРАНС», УТВЕРЖДЕННЫЙ ПРИКАЗОМ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center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ДЕПАРТАМЕНТА ЭКОНОМИКИ И ИНВЕСТИЦИЙ АДМИНИСТРАЦИИ ГОРОДА ПЕРМИ ОТ 27.06.2003 № 73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both"/>
        <w:spacing w:before="0" w:after="0" w:line="100" w:lineRule="atLeast"/>
      </w:pPr>
      <w:r/>
      <w:r/>
    </w:p>
    <w:p>
      <w:pPr>
        <w:pStyle w:val="851"/>
        <w:jc w:val="both"/>
        <w:spacing w:before="0" w:after="0" w:line="100" w:lineRule="atLeast"/>
      </w:pPr>
      <w:r/>
      <w:r/>
    </w:p>
    <w:p>
      <w:pPr>
        <w:pStyle w:val="851"/>
        <w:ind w:right="0" w:firstLine="709"/>
        <w:jc w:val="both"/>
        <w:spacing w:before="0" w:after="0" w:line="100" w:lineRule="atLeast"/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унитарного предприятия «Пермгорэлектротранс», утвержденный приказом начальника департамента экономики и инвестиций администрации города Перми от 27.06.2003 № 73, изменение, дополнив </w:t>
      </w:r>
      <w:r>
        <w:rPr>
          <w:rFonts w:ascii="Times New Roman" w:hAnsi="Times New Roman" w:cs="Times New Roman"/>
          <w:sz w:val="28"/>
          <w:szCs w:val="28"/>
        </w:rPr>
        <w:t xml:space="preserve">пункт 2.1 Раздела 2 Устава «ЦЕЛИ И ПРЕДМЕТ ДЕЯТЕЛЬНОСТИ ПРЕДПРИЯТИЯ» подпунктом 2.3.13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2"/>
        <w:ind w:left="0" w:right="0" w:firstLine="709"/>
        <w:jc w:val="both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«2.3.13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деятельность по осуществлению розничных продаж комиссионными агентами вне магазинов.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/>
        <w:jc w:val="both"/>
        <w:spacing w:before="0" w:after="0" w:line="100" w:lineRule="atLeast"/>
      </w:pPr>
      <w:r/>
      <w:r/>
    </w:p>
    <w:p>
      <w:pPr>
        <w:pStyle w:val="922"/>
        <w:ind w:left="0" w:right="0"/>
        <w:jc w:val="right"/>
        <w:spacing w:before="0"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2"/>
        <w:ind w:left="0" w:right="0"/>
        <w:jc w:val="both"/>
        <w:spacing w:before="0" w:after="0" w:line="100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1" w:right="850" w:bottom="1134" w:left="1701" w:header="426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hit Devanagari;MS Gothic">
    <w:panose1 w:val="020B0600000000000000"/>
  </w:font>
  <w:font w:name="Open Sans">
    <w:panose1 w:val="020B0606030504020204"/>
  </w:font>
  <w:font w:name="Times New Roman">
    <w:panose1 w:val="02020603050405020304"/>
  </w:font>
  <w:font w:name="Lucida Sans Unicode">
    <w:panose1 w:val="020B0603030804020204"/>
  </w:font>
  <w:font w:name="Calibri">
    <w:panose1 w:val="020F0502020204030204"/>
  </w:font>
  <w:font w:name="Arial">
    <w:panose1 w:val="020B0604020202020204"/>
  </w:font>
  <w:font w:name="Mangal">
    <w:panose1 w:val="02040503050406030204"/>
  </w:font>
  <w:font w:name=";Times New Roman">
    <w:panose1 w:val="02000603000000000000"/>
  </w:font>
  <w:font w:name="Lohit Devanagari">
    <w:panose1 w:val="020B0600000000000000"/>
  </w:font>
  <w:font w:name="Tahoma">
    <w:panose1 w:val="020B0604030504040204"/>
  </w:font>
  <w:font w:name="Tempora LGC Uni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spacing w:before="0" w:after="200" w:line="276" w:lineRule="auto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jc w:val="center"/>
    </w:pPr>
    <w:r/>
    <w:r/>
  </w:p>
  <w:p>
    <w:pPr>
      <w:pStyle w:val="926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99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99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99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99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99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99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99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99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99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99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99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99"/>
    <w:link w:val="926"/>
    <w:uiPriority w:val="99"/>
  </w:style>
  <w:style w:type="character" w:styleId="706">
    <w:name w:val="Footer Char"/>
    <w:basedOn w:val="899"/>
    <w:link w:val="927"/>
    <w:uiPriority w:val="99"/>
  </w:style>
  <w:style w:type="character" w:styleId="707">
    <w:name w:val="Caption Char"/>
    <w:basedOn w:val="909"/>
    <w:link w:val="927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99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99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before="0" w:after="200" w:line="276" w:lineRule="auto"/>
      <w:widowControl/>
    </w:pPr>
    <w:rPr>
      <w:rFonts w:ascii="Calibri" w:hAnsi="Calibri" w:eastAsia="Lucida Sans Unicode" w:cs=";Times New Roman"/>
      <w:color w:val="auto"/>
      <w:sz w:val="22"/>
      <w:szCs w:val="22"/>
      <w:lang w:val="ru-RU" w:eastAsia="zh-CN" w:bidi="ar-SA"/>
    </w:rPr>
  </w:style>
  <w:style w:type="character" w:styleId="852">
    <w:name w:val="Основной шрифт абзаца"/>
    <w:qFormat/>
  </w:style>
  <w:style w:type="character" w:styleId="853">
    <w:name w:val="WW8Num3z0"/>
    <w:qFormat/>
  </w:style>
  <w:style w:type="character" w:styleId="854">
    <w:name w:val="WW8Num2z1"/>
    <w:qFormat/>
    <w:rPr>
      <w:rFonts w:cs="Times New Roman"/>
      <w:strike w:val="0"/>
      <w:position w:val="0"/>
      <w:sz w:val="28"/>
      <w:vertAlign w:val="baseline"/>
    </w:rPr>
  </w:style>
  <w:style w:type="character" w:styleId="855">
    <w:name w:val="WW8Num4z0"/>
    <w:qFormat/>
  </w:style>
  <w:style w:type="character" w:styleId="856">
    <w:name w:val="Основной шрифт абзаца2"/>
    <w:qFormat/>
  </w:style>
  <w:style w:type="character" w:styleId="857">
    <w:name w:val="WW8Num1z0"/>
    <w:qFormat/>
  </w:style>
  <w:style w:type="character" w:styleId="858">
    <w:name w:val="WW8Num1z1"/>
    <w:qFormat/>
  </w:style>
  <w:style w:type="character" w:styleId="859">
    <w:name w:val="WW8Num1z2"/>
    <w:qFormat/>
  </w:style>
  <w:style w:type="character" w:styleId="860">
    <w:name w:val="WW8Num1z3"/>
    <w:qFormat/>
  </w:style>
  <w:style w:type="character" w:styleId="861">
    <w:name w:val="WW8Num1z4"/>
    <w:qFormat/>
  </w:style>
  <w:style w:type="character" w:styleId="862">
    <w:name w:val="WW8Num1z5"/>
    <w:qFormat/>
  </w:style>
  <w:style w:type="character" w:styleId="863">
    <w:name w:val="WW8Num1z6"/>
    <w:qFormat/>
  </w:style>
  <w:style w:type="character" w:styleId="864">
    <w:name w:val="WW8Num1z7"/>
    <w:qFormat/>
  </w:style>
  <w:style w:type="character" w:styleId="865">
    <w:name w:val="WW8Num1z8"/>
    <w:qFormat/>
  </w:style>
  <w:style w:type="character" w:styleId="866">
    <w:name w:val="WW8Num2z0"/>
    <w:qFormat/>
  </w:style>
  <w:style w:type="character" w:styleId="867">
    <w:name w:val="WW8Num2z2"/>
    <w:qFormat/>
  </w:style>
  <w:style w:type="character" w:styleId="868">
    <w:name w:val="WW8Num2z3"/>
    <w:qFormat/>
  </w:style>
  <w:style w:type="character" w:styleId="869">
    <w:name w:val="WW8Num2z4"/>
    <w:qFormat/>
  </w:style>
  <w:style w:type="character" w:styleId="870">
    <w:name w:val="WW8Num2z5"/>
    <w:qFormat/>
  </w:style>
  <w:style w:type="character" w:styleId="871">
    <w:name w:val="WW8Num2z6"/>
    <w:qFormat/>
  </w:style>
  <w:style w:type="character" w:styleId="872">
    <w:name w:val="WW8Num2z7"/>
    <w:qFormat/>
  </w:style>
  <w:style w:type="character" w:styleId="873">
    <w:name w:val="WW8Num2z8"/>
    <w:qFormat/>
  </w:style>
  <w:style w:type="character" w:styleId="874">
    <w:name w:val="WW8Num3z1"/>
    <w:qFormat/>
  </w:style>
  <w:style w:type="character" w:styleId="875">
    <w:name w:val="WW8Num3z2"/>
    <w:qFormat/>
  </w:style>
  <w:style w:type="character" w:styleId="876">
    <w:name w:val="WW8Num3z3"/>
    <w:qFormat/>
  </w:style>
  <w:style w:type="character" w:styleId="877">
    <w:name w:val="WW8Num3z4"/>
    <w:qFormat/>
  </w:style>
  <w:style w:type="character" w:styleId="878">
    <w:name w:val="WW8Num3z5"/>
    <w:qFormat/>
  </w:style>
  <w:style w:type="character" w:styleId="879">
    <w:name w:val="WW8Num3z6"/>
    <w:qFormat/>
  </w:style>
  <w:style w:type="character" w:styleId="880">
    <w:name w:val="WW8Num3z7"/>
    <w:qFormat/>
  </w:style>
  <w:style w:type="character" w:styleId="881">
    <w:name w:val="WW8Num3z8"/>
    <w:qFormat/>
  </w:style>
  <w:style w:type="character" w:styleId="882">
    <w:name w:val="WW8Num4z1"/>
    <w:qFormat/>
  </w:style>
  <w:style w:type="character" w:styleId="883">
    <w:name w:val="WW8Num4z2"/>
    <w:qFormat/>
    <w:rPr>
      <w:rFonts w:cs="Times New Roman"/>
    </w:rPr>
  </w:style>
  <w:style w:type="character" w:styleId="884">
    <w:name w:val="WW8Num4z3"/>
    <w:qFormat/>
  </w:style>
  <w:style w:type="character" w:styleId="885">
    <w:name w:val="WW8Num4z4"/>
    <w:qFormat/>
  </w:style>
  <w:style w:type="character" w:styleId="886">
    <w:name w:val="WW8Num4z5"/>
    <w:qFormat/>
  </w:style>
  <w:style w:type="character" w:styleId="887">
    <w:name w:val="WW8Num4z6"/>
    <w:qFormat/>
  </w:style>
  <w:style w:type="character" w:styleId="888">
    <w:name w:val="WW8Num4z7"/>
    <w:qFormat/>
  </w:style>
  <w:style w:type="character" w:styleId="889">
    <w:name w:val="WW8Num4z8"/>
    <w:qFormat/>
  </w:style>
  <w:style w:type="character" w:styleId="890">
    <w:name w:val="WW8Num5z0"/>
    <w:qFormat/>
  </w:style>
  <w:style w:type="character" w:styleId="891">
    <w:name w:val="WW8Num5z1"/>
    <w:qFormat/>
  </w:style>
  <w:style w:type="character" w:styleId="892">
    <w:name w:val="WW8Num5z2"/>
    <w:qFormat/>
  </w:style>
  <w:style w:type="character" w:styleId="893">
    <w:name w:val="WW8Num5z3"/>
    <w:qFormat/>
  </w:style>
  <w:style w:type="character" w:styleId="894">
    <w:name w:val="WW8Num5z4"/>
    <w:qFormat/>
  </w:style>
  <w:style w:type="character" w:styleId="895">
    <w:name w:val="WW8Num5z5"/>
    <w:qFormat/>
  </w:style>
  <w:style w:type="character" w:styleId="896">
    <w:name w:val="WW8Num5z6"/>
    <w:qFormat/>
  </w:style>
  <w:style w:type="character" w:styleId="897">
    <w:name w:val="WW8Num5z7"/>
    <w:qFormat/>
  </w:style>
  <w:style w:type="character" w:styleId="898">
    <w:name w:val="WW8Num5z8"/>
    <w:qFormat/>
  </w:style>
  <w:style w:type="character" w:styleId="899" w:default="1">
    <w:name w:val="Default Paragraph Font"/>
    <w:qFormat/>
  </w:style>
  <w:style w:type="character" w:styleId="900">
    <w:name w:val="Текст выноски Знак"/>
    <w:qFormat/>
    <w:rPr>
      <w:rFonts w:ascii="Tahoma" w:hAnsi="Tahoma" w:cs="Tahoma"/>
      <w:sz w:val="16"/>
      <w:szCs w:val="16"/>
    </w:rPr>
  </w:style>
  <w:style w:type="character" w:styleId="901">
    <w:name w:val="Верхний колонтитул Знак"/>
    <w:basedOn w:val="899"/>
    <w:qFormat/>
  </w:style>
  <w:style w:type="character" w:styleId="902">
    <w:name w:val="Нижний колонтитул Знак"/>
    <w:basedOn w:val="899"/>
    <w:qFormat/>
  </w:style>
  <w:style w:type="character" w:styleId="903">
    <w:name w:val="Основной шрифт абзаца1"/>
    <w:qFormat/>
  </w:style>
  <w:style w:type="character" w:styleId="904">
    <w:name w:val="Hyperlink"/>
    <w:rPr>
      <w:color w:val="000080"/>
      <w:u w:val="single"/>
    </w:rPr>
  </w:style>
  <w:style w:type="character" w:styleId="905">
    <w:name w:val="Символ нумерации"/>
    <w:qFormat/>
  </w:style>
  <w:style w:type="paragraph" w:styleId="906">
    <w:name w:val="Заголовок"/>
    <w:basedOn w:val="851"/>
    <w:next w:val="90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907">
    <w:name w:val="Body Text"/>
    <w:basedOn w:val="851"/>
    <w:pPr>
      <w:spacing w:before="0" w:after="120"/>
    </w:pPr>
  </w:style>
  <w:style w:type="paragraph" w:styleId="908">
    <w:name w:val="List"/>
    <w:basedOn w:val="907"/>
    <w:rPr>
      <w:rFonts w:cs="Mangal"/>
    </w:rPr>
  </w:style>
  <w:style w:type="paragraph" w:styleId="909">
    <w:name w:val="Caption"/>
    <w:basedOn w:val="85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0">
    <w:name w:val="Указатель"/>
    <w:basedOn w:val="851"/>
    <w:qFormat/>
    <w:pPr>
      <w:suppressLineNumbers/>
    </w:pPr>
    <w:rPr>
      <w:rFonts w:cs="Lohit Devanagari"/>
    </w:rPr>
  </w:style>
  <w:style w:type="paragraph" w:styleId="911">
    <w:name w:val="Заголовок1"/>
    <w:basedOn w:val="851"/>
    <w:next w:val="907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912">
    <w:name w:val="Название объекта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3">
    <w:name w:val="Указатель2"/>
    <w:basedOn w:val="851"/>
    <w:qFormat/>
    <w:pPr>
      <w:suppressLineNumbers/>
    </w:pPr>
    <w:rPr>
      <w:rFonts w:cs="Lohit Devanagari;MS Gothic"/>
    </w:rPr>
  </w:style>
  <w:style w:type="paragraph" w:styleId="914">
    <w:name w:val="Caption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5">
    <w:name w:val="Caption1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6">
    <w:name w:val="Caption11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7">
    <w:name w:val="Caption111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8">
    <w:name w:val="Caption1111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19">
    <w:name w:val="Caption111111"/>
    <w:basedOn w:val="851"/>
    <w:qFormat/>
    <w:pPr>
      <w:spacing w:before="120" w:after="120"/>
      <w:suppressLineNumbers/>
    </w:pPr>
    <w:rPr>
      <w:rFonts w:cs="Lohit Devanagari;MS Gothic"/>
      <w:i/>
      <w:iCs/>
      <w:sz w:val="24"/>
      <w:szCs w:val="24"/>
    </w:rPr>
  </w:style>
  <w:style w:type="paragraph" w:styleId="920">
    <w:name w:val="Название1"/>
    <w:basedOn w:val="8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1">
    <w:name w:val="Указатель1"/>
    <w:basedOn w:val="851"/>
    <w:qFormat/>
    <w:pPr>
      <w:suppressLineNumbers/>
    </w:pPr>
    <w:rPr>
      <w:rFonts w:cs="Mangal"/>
    </w:rPr>
  </w:style>
  <w:style w:type="paragraph" w:styleId="922">
    <w:name w:val="List Paragraph"/>
    <w:basedOn w:val="851"/>
    <w:qFormat/>
    <w:pPr>
      <w:numPr>
        <w:ilvl w:val="0"/>
        <w:numId w:val="0"/>
      </w:numPr>
      <w:ind w:left="720" w:right="0" w:firstLine="0"/>
    </w:pPr>
  </w:style>
  <w:style w:type="paragraph" w:styleId="923">
    <w:name w:val="ConsPlusNormal"/>
    <w:qFormat/>
    <w:pPr>
      <w:spacing w:line="100" w:lineRule="atLeast"/>
      <w:widowControl/>
    </w:pPr>
    <w:rPr>
      <w:rFonts w:ascii="Times New Roman" w:hAnsi="Times New Roman" w:eastAsia="Lucida Sans Unicode" w:cs="Times New Roman"/>
      <w:color w:val="auto"/>
      <w:sz w:val="28"/>
      <w:szCs w:val="28"/>
      <w:lang w:val="ru-RU" w:eastAsia="zh-CN" w:bidi="ar-SA"/>
    </w:rPr>
  </w:style>
  <w:style w:type="paragraph" w:styleId="924">
    <w:name w:val="Balloon Text"/>
    <w:basedOn w:val="851"/>
    <w:qFormat/>
    <w:pPr>
      <w:numPr>
        <w:ilvl w:val="0"/>
        <w:numId w:val="0"/>
      </w:numPr>
      <w:ind w:left="0" w:right="0" w:firstLine="0"/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925">
    <w:name w:val="Колонтитул"/>
    <w:basedOn w:val="851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26">
    <w:name w:val="Header"/>
    <w:basedOn w:val="851"/>
    <w:pPr>
      <w:numPr>
        <w:ilvl w:val="0"/>
        <w:numId w:val="0"/>
      </w:numPr>
      <w:ind w:left="0" w:right="0" w:firstLine="0"/>
      <w:spacing w:before="0" w:after="0" w:line="100" w:lineRule="atLeast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paragraph" w:styleId="927">
    <w:name w:val="Footer"/>
    <w:basedOn w:val="851"/>
    <w:pPr>
      <w:numPr>
        <w:ilvl w:val="0"/>
        <w:numId w:val="0"/>
      </w:numPr>
      <w:ind w:left="0" w:right="0" w:firstLine="0"/>
      <w:spacing w:before="0" w:after="0" w:line="100" w:lineRule="atLeast"/>
      <w:tabs>
        <w:tab w:val="clear" w:pos="708" w:leader="none"/>
        <w:tab w:val="center" w:pos="4677" w:leader="none"/>
        <w:tab w:val="right" w:pos="9355" w:leader="none"/>
      </w:tabs>
      <w:suppressLineNumbers/>
    </w:pPr>
  </w:style>
  <w:style w:type="paragraph" w:styleId="928">
    <w:name w:val="Содержимое таблицы"/>
    <w:basedOn w:val="851"/>
    <w:qFormat/>
    <w:pPr>
      <w:suppressLineNumbers/>
    </w:pPr>
  </w:style>
  <w:style w:type="paragraph" w:styleId="929">
    <w:name w:val="Заголовок таблицы"/>
    <w:basedOn w:val="928"/>
    <w:qFormat/>
    <w:pPr>
      <w:jc w:val="center"/>
      <w:suppressLineNumbers/>
    </w:pPr>
    <w:rPr>
      <w:b/>
      <w:bCs/>
    </w:rPr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dc:language>ru-RU</dc:language>
  <cp:revision>10</cp:revision>
  <dcterms:created xsi:type="dcterms:W3CDTF">2023-12-14T16:04:00Z</dcterms:created>
  <dcterms:modified xsi:type="dcterms:W3CDTF">2025-04-07T07:59:11Z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