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39512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6.10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ind w:right="523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О</w:t>
      </w:r>
      <w:r>
        <w:rPr>
          <w:b/>
          <w:highlight w:val="white"/>
        </w:rPr>
        <w:t xml:space="preserve">б утверждении </w:t>
      </w:r>
      <w:r>
        <w:rPr>
          <w:b/>
          <w:highlight w:val="white"/>
        </w:rPr>
        <w:t xml:space="preserve">плана </w:t>
      </w:r>
      <w:r>
        <w:rPr>
          <w:b/>
          <w:highlight w:val="white"/>
        </w:rPr>
        <w:t xml:space="preserve">основных мероприятий </w:t>
      </w:r>
      <w:r>
        <w:rPr>
          <w:b/>
          <w:highlight w:val="white"/>
        </w:rPr>
        <w:t xml:space="preserve">города Перми</w:t>
      </w:r>
      <w:r>
        <w:rPr>
          <w:b/>
          <w:highlight w:val="white"/>
        </w:rPr>
        <w:t xml:space="preserve"> 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pStyle w:val="906"/>
        <w:ind w:right="5237"/>
        <w:spacing w:line="240" w:lineRule="exact"/>
        <w:rPr>
          <w:b/>
          <w:bCs/>
          <w:highlight w:val="white"/>
        </w:rPr>
      </w:pPr>
      <w:r>
        <w:rPr>
          <w:b/>
          <w:highlight w:val="white"/>
        </w:rPr>
        <w:t xml:space="preserve">до </w:t>
      </w:r>
      <w:r>
        <w:rPr>
          <w:b/>
          <w:highlight w:val="white"/>
        </w:rPr>
        <w:t xml:space="preserve">2027 года, проводимых </w:t>
      </w:r>
      <w:r>
        <w:rPr>
          <w:b/>
          <w:highlight w:val="white"/>
        </w:rPr>
        <w:t xml:space="preserve">в рамках Десятилетия детст</w:t>
      </w:r>
      <w:r>
        <w:rPr>
          <w:b/>
          <w:highlight w:val="white"/>
        </w:rPr>
        <w:t xml:space="preserve">ва</w:t>
      </w:r>
      <w:r>
        <w:rPr>
          <w:b/>
          <w:bCs/>
          <w:highlight w:val="white"/>
        </w:rPr>
      </w:r>
      <w:r>
        <w:rPr>
          <w:b/>
          <w:bCs/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t xml:space="preserve"> от 06 октября 2003 г. № 131-ФЗ</w:t>
        <w:br/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реализации Указа Президента Российск</w:t>
      </w:r>
      <w:r>
        <w:rPr>
          <w:sz w:val="28"/>
          <w:szCs w:val="28"/>
        </w:rPr>
        <w:t xml:space="preserve">ой Федерации</w:t>
        <w:br/>
        <w:t xml:space="preserve">от 29 мая </w:t>
      </w:r>
      <w:r>
        <w:rPr>
          <w:sz w:val="28"/>
          <w:szCs w:val="28"/>
        </w:rPr>
        <w:t xml:space="preserve"> 2017 г. №</w:t>
      </w:r>
      <w:r>
        <w:rPr>
          <w:sz w:val="28"/>
          <w:szCs w:val="28"/>
        </w:rPr>
        <w:t xml:space="preserve"> 240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объявлении в Российско</w:t>
      </w:r>
      <w:r>
        <w:rPr>
          <w:sz w:val="28"/>
          <w:szCs w:val="28"/>
        </w:rPr>
        <w:t xml:space="preserve">й Федерации Десятилетия детства»</w:t>
        <w:br/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/>
    </w:p>
    <w:p>
      <w:pPr>
        <w:pStyle w:val="87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План основных </w:t>
      </w:r>
      <w:r>
        <w:rPr>
          <w:sz w:val="28"/>
          <w:szCs w:val="28"/>
        </w:rPr>
        <w:t xml:space="preserve">мероприятий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до 2027</w:t>
      </w:r>
      <w:r>
        <w:rPr>
          <w:sz w:val="28"/>
          <w:szCs w:val="28"/>
        </w:rPr>
        <w:t xml:space="preserve"> года, проводимых в рам</w:t>
      </w:r>
      <w:r>
        <w:rPr>
          <w:sz w:val="28"/>
          <w:szCs w:val="28"/>
        </w:rPr>
        <w:t xml:space="preserve">ках Десятилетия детства (далее –</w:t>
      </w:r>
      <w:r>
        <w:rPr>
          <w:sz w:val="28"/>
          <w:szCs w:val="28"/>
        </w:rPr>
        <w:t xml:space="preserve"> План).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Определить ответственными исполнителями мероприятий Плана депа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тамент социальной политики администрации города Перми, департамент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администрации города Перми, департамент культуры и молодежной пол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тики администрации города Перми, комитет по физической культуре и спорту администрации города Перми, территориальные органы администрации города Перми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ответственные исполнители).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Ответственным исполнителям Плана обеспечить выполнение меропри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тий Плана с представлением в департамент социальной политики администрации города Перми информации о </w:t>
      </w:r>
      <w:r>
        <w:rPr>
          <w:sz w:val="28"/>
          <w:szCs w:val="28"/>
        </w:rPr>
        <w:t xml:space="preserve">ходе выполнения соответствующих мероприятий Плана ежегодно не позднее 15 февраля, </w:t>
      </w:r>
      <w:r>
        <w:rPr>
          <w:sz w:val="28"/>
          <w:szCs w:val="28"/>
        </w:rPr>
        <w:t xml:space="preserve">следующего за отчетным периодом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Департаменту социальной политики администрации города Перми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печить координацию выполнения Плана.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со дня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hyperlink r:id="rId12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</w:rPr>
          <w:t xml:space="preserve">www.gorodperm.ru</w:t>
        </w:r>
      </w:hyperlink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7.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shd w:val="nil" w:color="auto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постановления возложить </w:t>
        <w:br/>
        <w:t xml:space="preserve">на </w:t>
      </w:r>
      <w:r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Мальцеву Е.Д.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  <w:tab/>
        <w:tab/>
        <w:tab/>
        <w:tab/>
        <w:tab/>
        <w:tab/>
        <w:tab/>
        <w:tab/>
        <w:t xml:space="preserve">       </w:t>
      </w: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77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постановлением администрации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772"/>
        <w:jc w:val="both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от </w:t>
      </w:r>
      <w:r>
        <w:rPr>
          <w:sz w:val="28"/>
          <w:szCs w:val="28"/>
          <w:highlight w:val="none"/>
        </w:rPr>
        <w:t xml:space="preserve">03.04.2025 № 220</w:t>
      </w:r>
      <w:r>
        <w:rPr>
          <w:sz w:val="28"/>
          <w:szCs w:val="28"/>
          <w:highlight w:val="none"/>
        </w:rPr>
      </w:r>
    </w:p>
    <w:p>
      <w:pPr>
        <w:ind w:left="9638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города Перми до 2027 года, проводимых в рамках Десятилетия детства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W w:w="15282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636"/>
        <w:gridCol w:w="3685"/>
        <w:gridCol w:w="1417"/>
        <w:gridCol w:w="4677"/>
      </w:tblGrid>
      <w:tr>
        <w:tblPrEx/>
        <w:trPr>
          <w:trHeight w:val="456"/>
        </w:trPr>
        <w:tc>
          <w:tcPr>
            <w:tcW w:w="8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Наименование мероприятия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Ожидаемый результат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15282" w:type="dxa"/>
        <w:tblInd w:w="-4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4636"/>
        <w:gridCol w:w="3685"/>
        <w:gridCol w:w="1417"/>
        <w:gridCol w:w="4677"/>
      </w:tblGrid>
      <w:tr>
        <w:tblPrEx/>
        <w:trPr>
          <w:trHeight w:val="263"/>
          <w:tblHeader/>
        </w:trPr>
        <w:tc>
          <w:tcPr>
            <w:tcW w:w="86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 xml:space="preserve">I. Здоровьесбережение с детства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307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1.1. Создание условий для повышения рождаемости в Пермском крае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Оказание материальной поддержки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мьям с детьми в виде предоставления единовременных и ежемесячных выплат по случаю рождения детей, сертифик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тов и др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гих мер поддержки по случаю рождения 2, 3 и более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епартамент социальной пол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тики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(далее – ДСП)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Террит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риальное управление Мин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стерства труда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социального развития Пермского края по городу Пе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ми (по согласованию)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(далее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крепление института семьи, повышение престижа многодетной семьи, соц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ального статуса материнства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отцо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Подготовка кандидатов и представление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 присвоению звания «Мать-героиня»,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представление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 награждению Почетным знаком Пермского края «За достойное воспитание детей» и государственной наградой медалью ордена и орденом «Родительская слава»,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памятным знаками «Семейная гордость»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СП, территориальные органы администрации города Перми (далее – ТО)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крепление института семьи, повышение престижа многодетной семьи, социального статуса материнства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отцовства,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повышение общественного престижа родите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льского труда, развитие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сохранение традиционных семейных ценностей, повышение роли семьи в жизни общества, подчеркивающей важность длительных семейных отношений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меры социальной 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держки в виде ежемесячной денежной муниципальной выплаты одному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из 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дителей, являющихся 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дентами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или учащимися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ДСП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ормирование кадрового трудового поте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циала города Перми из числа студе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тов и учащихся, поддержка социально-статусного и социально-экономического положения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мьи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1.2. Формирование навыков здорового образа жизни и культуры здоровья семьи как базовой ценности, в том числе просвещение родителей (законных представителей)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Ежегодное социально-психологическое тестирование (далее – СПТ)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епартамент образования администрации города Перми (далее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ДО)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доли обучающихся, принявших участие в СПТ, до 90 %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от количества несовершеннолетних, подлежащих тестированию. Уменьшение доли отказов по неуважительным причинам до 5 %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Участие муниципальных учреждений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профилактических акциях посредством размещения информации по пропаганде здорового образа жизни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информационных ресурсах, проведения бесед с родителями несовершеннолетних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комитет по физической культуре и спорту администр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ции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(далее – КФКС)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-2027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овышение информированности населения о принципах здорового образа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социально-психологической коррекции и педагогического наблюдения за несовершеннолетними с явным риском вовлечения в противоправные действия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доли подростков, охваченных социально-психологической коррекцией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 высоким и средним риском деструктивного поведения, до 65 %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1.2.4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рейдовых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выявлению фактов продажи табачной, никотинсодержащей и алкогольной продукции несовершеннолетним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комиссии по делам несове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шеннолетних и защите их прав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(далее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ДО, 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нижение потребления несовершеннолетними табака, никотинсодержащей и алкогольной продукции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1.2.5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профилактической работы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правовому просвещению несовершеннолетних, родителей, педагогов. Проведение 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есячника гражданского и правового просвещения несовершеннолетних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количества профилактических мероприятий по правовому просвещению несовершеннолетних, родителей, педагогов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II. Благополучие семей с детьми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2.1. Снижение числа малообеспеченных семей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мероприятий, включаемых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грамму социальной адаптации получателей государственной социальной помощи на осн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вании социального контракта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нижение числа малообеспеченных семей на 10 %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2.2. Создание единой комплексной системы поддержки семей с детьми, оказавшихся в трудной жизненной ситуации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единовременной материальной помощи семьям с детьми, оказавшимся в трудной жизненной ситуации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казание материальной помощи в трудной жизненной ситуации в связи с болезнью ребенка, определить которую возможно только через проведение лабораторно-генетического обследования ребенка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Социальное сопровождение / патронаж семей с детьми, оказавшихся в трудной жизненной ситуации, в том числе семей участников СВО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ыявление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сопровождение семей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трудной жизненной ситуации,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охват семей участников СВО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Оказание срочной социальной услуги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виде материальной помощи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натуральной форме гражданам, признанным нуждающимися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обеспечении мест проживания средствами противопожарной защиты,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том числе семей в социально-опасном положении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увеличение количества семей с детьми, обеспеченных пожарными извещателями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2.2.4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Родительская конференция «Отношения родителей и детей»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заимодействие между педагогами, родителями и детьми, выстраивание доверительных отношений между родителями и детьми (охват в течение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 лет по участию более 1 000 человек)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 Улучшение жилищных условий семей с детьми, в том числе многодетных семей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многодетным семьям меры социальной поддержки в виде единовременной денежной выплаты взамен предоставления земельного участка в собственность бесплатно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окращение доли семей с тремя и более детьми, поставленных на учет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получения бесплатного земельного участка для индивидуального жилищного строительства, ведения личного подсобного хозяйства, осуществления крестьянским (фермерским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) хозяйством его деятельности, садоводства, огородничества, животноводства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социальных выплат молодым семьям на приобретение жилого помещения или создание объекта индивидуального жилищного строительства на территории Пермского края в размере 35 % или 15 % расчетной (средней) стоимости жилья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окращение доли семей, поставленных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учет как нуждающиеся в улучшении жилищных условий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молодым семьям, улучшившим жилищные условия, дополнительной социальной выплаты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размере 5 % либо 100 %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от представленной социальной выпла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случае рождения (усыновления) ребенка в течение 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лет с даты перечисления социальной выплаты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окращение доли семей, поставленных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учет как нуждающиеся в улучшении жилищных условий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молодым сем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ьям, улучшившим жилищные условия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получившим дополнительную социальную выплату в размере 100 %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от представленной социальной выплаты,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случае рождения (усыновления) последующего ребенка в течение 3 лет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даты перечисления социальной выплаты в размере 15 %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окращение доли семей, поставленных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учет как нуждающиеся в улучшении жилищных условий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субсидии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догазификацию жилого помещения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многодетным семьям, семьям, имеющим детей-инвалидов, малоимущим семьям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редоставление субсидии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для семей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детьми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не менее 30 %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от общего количества заявителей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семей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от количества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Предоставление и реализация социальной выплаты лицам из числа детей-сирот,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возрасте старше 23 лет на приобретение жилых помещений на основании жилищных сертификатов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редоставление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сертификатов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2025 году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2.3.7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Осуществление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контрол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замещающими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родителями по реализации прав детей-сирот и детей, оставшихся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без попечения родителей,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обеспечение жилыми помещениями специализированного жилищного фонда по договорам социального найма жилых помещений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ключение в список получателей не менее 70 % от выявленных несовершеннолетних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2.4. Формирование культуры семьи с детьми как базовой общественной ценности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общегородского фестиваля семейных традиций «Дело семейное»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епартамент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молодежной политики администрации города Перми (далее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ДКМП),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ДСП, </w:t>
            </w:r>
            <w:r>
              <w:rPr>
                <w:color w:val="000000" w:themeColor="text1"/>
                <w:szCs w:val="24"/>
                <w:highlight w:val="white"/>
              </w:rPr>
              <w:t xml:space="preserve">МАУ «Дом молодежи»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крепление института семьи, повышение престижа многодетной семьи, социального статуса материнства и отцовства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2.4.2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отборочных этапов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конкурсов «Лучшая многодетная семья», «Лучшая замещающая семья»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ентябрь 2025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частие семей из города Перми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ежегодном региональном конкурсе «Лучшая многодетная семья», «Лучшая замещающая семья»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2.4.3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роведен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спортивны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соревновани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тематически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круглы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стол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творчески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конкурс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 клубами приемных родителей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«Мы одна семья»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«Добрая семья»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8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течение 2025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частие семей в мероприятиях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2.4.4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и проведение совместных досуговых мероприятий для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родителей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ДО, ТО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оздание гармоничных условий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для развития ребенка, вовлечение семьи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 досуговую деятельность учреждений дополнительного образования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2.5. Создание правовых, организационных, кадровых, социальных условий для раннего выявления семейного и детского неблагополучия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организации индивидуального сопровождения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оказания социальных услуг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замещающим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семьям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семьям, находящимся в социально-опасном положении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величение охвата социальным обслуживанием семей, признанных нуждающимися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2.5.2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курсов, мастер-классов, заседаний круглых столов, дискуссионных клубов с участием педагогов, заместителей руководителей, руководителей по ведению профилактической работы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общеобразовательных учреждениях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числа педагогов, прошедших обучение по профилактике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III. Всестороннее развитие, обучение, воспитание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3.1. Обеспечение доступного и качественного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Создание новых мест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общеобразовательных учреждениях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2025 году планируется создание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500 мест: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ул. Уральская, 110 (строительство школы).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2026 году планируется создание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4 393 мест: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1. строительство школы в Ленинском районе г. Перми (квартал № 134)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1 050 мест;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2. строительство школы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Индустриальном районе г. Перми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1 050 мест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 строительство нового корпуса «Инженерная школа» г. Перми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ул. Академика Веденеева – 1 050 мест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4. строительство нового корпуса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МАОУ «Гимназия № 10» по адресу: Парковый, 27 на 700 мест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5. строительство школы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ул. Серебристая, 8 на 543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3.2. Совершенствование мер, направленных на развитие эффективности системы воспитания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рабочей программы воспитания обучающихся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общеобразовательных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рабочие программы воспитания обучающихся и воспитанников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реализуются в общеобразовательных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и дошкольных образовательных организациях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3.3. Создание условий для социализации и самореализации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3.3.1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Работа дискуссионных клубов, увеличение их числа и численности детей, принимающих участие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числа дискуссионных клубов и их участников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3.3.2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школьными советами старшеклассников (далее – ШСС) мероприятий: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мероприятия, касающиеся значимых дат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истории школы, района, города, края, России и мира;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интеллектуальные игры, марафоны, фестивали;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участие в социально значимых проектах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увеличение количества событий,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 которых принимают участие ШСС. Формирование лидеров общественного мнения в подростковой среде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3.3.3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обучающихся (мастер-классы, интеллектуальные и творческие конкурсы, ярмарки достижений, фестивали, конкурсы и другое)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охват обучающихся мероприятиями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не менее 3 000 чел. ежегодно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3.3.4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Функционирование подростковых центров «Реальное место»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функционирует не менее 5 подростковых центров «Реальное место»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3.4. Увеличение охвата детей в возрасте от 5 до 18 лет дополнительным образованием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Работа творческих коллективов в разных направлениях (музыкальное, танцевальное, изобразительное, театральное)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увеличение охвата детей дополнительным образованием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3.4.2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Создание условий для увеличения охвата детей в возрасте от 5 до 18 лет дополнительными образовательными программами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влечение охвата детей качественными дополнительными образовательными программами до 80 %.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Актуализация образовательных программ в учреждениях дополнительного образования (далее – УДО).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Повышение квалификации педагогов УДО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3.4.3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мероприятий, направленных на повышение квалификации педагогов дополнительного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величение охвата детей качественными дополнительными образовательными программами до 80 %.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Актуализация образовательных программ в УДО. Повышение квалификации педагогов УДО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3.4.4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программ дополнительного образования детей в частных образовательных организациях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увеличение охвата обучающихся не менее чем на 1 250 чел.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3.4.5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мероприятий в сфере дополнительного образования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области искусств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роведение ежегодного отчетный концерта учащихся детских школ искусств города Перми, отчетной выставки учащихся детских школ искусств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детской художественной школы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3.4.6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проекта по созданию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школы креативных индустрий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оздание школы креативных индустрий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на базе организаций в сфере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культуры, имеющей лицензию на осуществление образовательной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3.5. Развитие детских объединений и вовлечение обучающихся в их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3.5.1</w:t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азвитие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школьного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ученического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самоуправления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(работа городского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районных Советов старшеклассников, создание молодежных советов, молодежных ячеек в территориальных общественных самоуправлениях)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ДКМП, 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увеличение количества молодежных объединени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й,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развитие социальных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9"/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коммуникативных навыков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9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 обучающихся,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реализация социально значимых проектов и инициатив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3.5.2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Участие в творческих конкурсах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поощрение за призовые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азвитие детских объединений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 вовлечение обучающихся в их деятельность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3.5.3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Фестиваль школьной лиги КВН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увеличение количества школьников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к проведению творческого досуга, формирование у детей активной жизненной позиции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3.5.4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Конкурс «Лучший организатор среди Президентов школьных спортивных клубов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общеобразовательных учреждений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азвитие компетенций у учащихся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общественной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3.5.5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работы детской Арт-резиденции «Тут»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количества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детей, подростков и молодых взрослых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к проведению творческого досуга, формирование активной жизненной позиции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3.6. Выявление и государственная поддержка одаренных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3.6.1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Выплата стипендий одаренным детям, обучающимся в образовательных учреждениях дополнительного образования детей в сфере культуры города Перми (в том числе по видам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искусств)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типендия одаренным детям, обучающимся в образовательных учреждениях дополнительного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образования детей в сфере культуры города Перми, присуждается детям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 18 лет (включительно), обучающимся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образовательных учреждениях дополнительного образования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 сфере культуры города Перми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 образовательным программам по видам искусств.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Плановый и фактический показатель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количеству стипендиатов – 20 человек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3.6.2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и проведение олимпиады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предмету «Физическая культура»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популяризация предмета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школьной программы «Физическая культура». Выявление сильнейших учащихся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участия в региональном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Всероссийском этапах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3.6.3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проекта «Золотой резерв»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60 лауреатов премии Главы города «Золотой резерв»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3.7. Содействие в профессиональном самоопределении личности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3.7.1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Реализация мероприятий проекта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«Уникальные школы»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90 % обучающихся 9, 11 классов общеобразовательных учреждений-участников проекта «Уникальные школы» имеют высокий и выше среднего уровень готовности к профессиональному самоопределению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мероприятий проекта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Профильные классы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 менее 30 % общеобразовательных организаций города Перми организуют функционирование профильных классов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предпрофессиональной направленности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3.8. Повышение читательской активности и развитие читательских компетенций у детей 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3.8.1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мероприятий, направленных на популяриз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цию чтения и развитие речи: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участие во Всероссийских, региональных, 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родских акциях («Дарите книги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любовью», «Исцеление чтением», «Подарите радость чтения вслух», «Региональный день чтения»);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культурно-досуговые мероприятия (Фестиваль читательских предпочтений, Цикл литературно-театрализованных мероприятий «Игра в классику»;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Летние чтения «Волшебство книжного лета»;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Семейное чтение «Книга. Семья. Вдохновение»;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творческие конкурсы (Поэтический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«Ко мне стихи приходят, как друзья»,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конкурсы чтецов, конкурсы рисунков, поделок на литературные темы)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ДКМП, 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ормирование традиций семейного чтения, популяризация литературы, классических произведений для детей, развитие творческих способностей детей, продвижение читательской активности летом охват – 6 650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3.8.2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виртуальных экскурсий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(к основным российским памятникам, посвященным Великой Отечественной войне) «Памятники Вечной Славы»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Уроки памяти «Вклад пермяков в великую Победу».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патриотических мероприятий «Память бережно храня».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книжных выставок «Читать, чтобы помнить!».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исторических киночасов «Приближая великую дату».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Городской квест «Дорогой победы»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оспитание любви к родному краю, Родине, своему народу, уважения к другим народам России, формирование российского национального исторического сознания, российской культурной идентичности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и воспитание патриотических чувств, уважения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fffff"/>
              </w:rPr>
              <w:t xml:space="preserve">к защитникам Отечества.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Продвижение читательской активности летом, охват 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2 500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712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3.8.3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мероприятий, направленных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литературное развитие и формирование критического мышления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подростков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литературно-творческие клубы «КнижДвиж»,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«Книжная аптека», «Сказки с потолка» и другие;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мероприятий «Громкие чтения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обсуждениями: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Читаем вместе»;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литературно дискуссионный клуб «Нескучное чтение»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4f4f4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4f4f4"/>
              </w:rPr>
              <w:t xml:space="preserve">азвитие у детей критического мышления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4f4f4"/>
              </w:rPr>
              <w:t xml:space="preserve">посредством анализа и оценки книжных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4f4f4"/>
              </w:rPr>
              <w:t xml:space="preserve">образов, формирование знаний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shd w:val="clear" w:color="auto" w:fill="f4f4f4"/>
              </w:rPr>
              <w:t xml:space="preserve">об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основных социальных ролях, морально-этических нормах.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Охват – 2 000 чел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презентаций исследовательских работ учащихся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«Исследовательский мир».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Цикл мероприятий, посвященных науке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технологиям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«Волшебный мир технологии и инноваций»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ормирование мировоззрения личности ребенка,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Охват – 500 чел.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3.9. Совершенствование физкультурно-спортивной работы с детьми (в возрасте до 18 лет)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3.9.1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Совершенствование системы физического воспитания детей, доступность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занятий спортом и физической культурой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численности детей, вовлеченных в систематические занятия физической 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ультурой и спортом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возрасте (5-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18 лет).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выполнения детьми нормативов испытаний (тестов) Всероссийского физкультурно-спортивного комплекса «Готов к труду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обороне»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(ВФСК «ГТО»)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увеличение доли школьников, принявших участие в выполнении нормативов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ВФСК «ГТО»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3.9.3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мероприятий, направленных на проп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ганду здорового образа жизни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пуляризацию физической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спорта (соревнования, эстафеты, спортивные праздники и игры)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ТО, ДО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числа детей, занимающихся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спортивных секциях, 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общение детей и подрос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ков к занятиям физической культурой и спо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том, развитие дворового спорта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3.9.4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проекта «Аква-кайф»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ривитие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интереса к занятиям плаванием, укреплени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здоровья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профилактика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болеваний. Охват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900 чел. ежегодно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3.9.5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проекта «Реально спорт»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ДСП, ДО, КФКС, ТО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численности несовершеннолетних, принявших участие в проекте.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Расширение географии проекта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3.10. Увеличение охвата детей различными формами активного детско-юношеского туризма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3.10.1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мер по развитию туристско-краеведческой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бновление и актуализация образовательных программ, привлечение новых участников. Увеличение количества детей, занимающихся туристско-краеведческой деятельностью.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Развитие скаутского движения на базе МАУ ДО «Центр дополнительного образования для детей «Луч» г. Перми, повышение доступности детского туризма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3.11. Отдых, оздоровление и занятость детей и подростков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81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отдыха детей и их оздоровления с использованием бюджетной поддержки: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загородные, профильные и санаторно-оздоровительные лагеря;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лагеря с дневным пребыванием детей, лагеря палаточного типа, лагеря досуга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отдыха, разновозрастные отряды;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трудовая занятость;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профильные смены;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спортивная занятость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ланируемый охват детей – не менее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100 000 чел., расширение спектра программ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Направление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детей-сирот и детей, оставшихся без попечения родителей,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возрасте от 7 до 18 лет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загородные детские оздоровительные лагеря; осуществление выплаты компенсации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 самостоятельно приобретенную путевку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(по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гласованию)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рганизация отдыха не менее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445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детей ежегодно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3.11.3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color w:val="212529"/>
                <w:sz w:val="24"/>
                <w:szCs w:val="24"/>
                <w:highlight w:val="white"/>
                <w:shd w:val="clear" w:color="auto" w:fill="ffffff"/>
              </w:rPr>
              <w:t xml:space="preserve">Реализация социальных и трудовых инициатив подростков и приобретения ими навыков профессиональной трудовой и управленческой деятельности через участие в проекте «Трудовые отряды подростков» (далее – ТОП)</w:t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МАУ «Дом Молодежи», 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риобщение к труду и приобретение профессиональных навыков подростков.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Ежегодное вовлечение в деятельность отрядов ТОП не менее 300 человек.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3.12. Обеспечение функционирования системы патриотического воспитания граждан Пермского края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3.12.1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и проведение городского спортивно-патриотического фестиваля «Дни воинской славы России»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количества детей, вовлеченных в мероприятия патриотической направленности.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Привлечение образовательных учреждений города Перми к организации мероприятий, посвященных дням воинской славы и памятным датам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России, – не менее 7 ед.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Количество участников фестиваля среди обучающихся образовательных учреждений города Перми – не менее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40 000 чел.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3.12.2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просветительских мероприятий, тематических уроков, классных часов патриотической направленности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ключение в программу воспитания мероприятий по календарю знаменательных и памятных дат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3.12.3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и проведение работы патриотической направленности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обучающимися спортивных школ, в том числе проведение спортивных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физкультурных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ормирование и развитие патриотических качеств личности обучающихся. Приобщение подрастающего поколения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 системе социокультурных ценностей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IV. Инфраструктура детства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4.1. Обеспечение потребности детей и семей с детьми в качественных, безопасных и доступных товарах и услугах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4.1.1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Развитие детской инфрастру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обеспечения досту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ности получения образовател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ных услуг, услуг дополнител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ного образования и занятий спортом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ДКМП, КФКС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троительство школы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ул. Уральская, 110,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школы в Ленинском районе г. Перми (квартал № 134),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школы в Индустриальном районе г. Перми.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нового корпуса «Инженерная школа» г. Перми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ул. Академика Веденеева,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нового корпуса МАОУ «Гимназия № 10»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адресу: Парковый, 27 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Строительство плавательного бассейна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адресу: ул. Гайвинская, 50.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Капитальный ремонт Экстрим-парка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4.1.2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Проработка вопроса по созданию муниципального оздоровительного лагеря на базе имущественного комплекса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ул. Кировоградская 171, 178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ДСП, 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азработана проектно-сметная документация на строительство лагеря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4.1.3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Развитие инфраструктуры учреждений дополнительного образования в сфере культуры (перепрофилирование зданий, строительство новых школ,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азмещение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во встроенных либо встроенно-пристроенных помещениях 1 этажа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строящихся многоквартирных домах)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величение охвата детей, занимающихся дополнительным образованием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V. Качество жизни детей с ограниченными возможностями 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здоровья, детей-инвалидов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70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5.1. Обеспечение применения современных технологий, содействие родителям (законным представителям) детей-инвалидов и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ограниченными возможностями здоровья в подготовке детей к самостоятельной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5.1.1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Обеспечение доступности объектов социальной инфр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структуры муниципальной формы собственности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мей, имеющих детей-инвалидов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борудование приоритетных об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ъ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ектов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зданий муниципальных учреждений образования и культ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административных зданий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средствами беспрепятственного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ступа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5.1.2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проекта «Класс без границ» (ресурсный класс) и услуги дополнительного образования детям, имеющим ментальные нарушения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развитии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бучение детей с ОВЗ, в том числе с РАС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детей-инвалидов совместно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 здоровыми детьм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и. Созда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ние специальных условий для получения образования обучающимися с ОВЗ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 инвалидностью.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Открытие «ресурсных классов / групп»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не менее 2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5.1.3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занятий с детьми инвалидами и детьми с ограниченными возможностями здоровья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дополнительным общеразвивающим программам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оздание условий для получения начальных знаний, умений, навыков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сфере адаптивной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физической культуры и спорта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детей-инвалидов и детей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ограниченными возможностями здоровья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как средство реабилитации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социализации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VI. Безопасность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510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6.1. Формирование у обучающихся представления о безопасном образе жизни, правосознания и культуры в области безопасности 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6.1.1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бесед и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профилактике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дорожно-транспортных происшествий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обучающимися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размещение информации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социальных сетях учреждений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профилактике безопасного поведения на дорогах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КФКС, ДО, 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овышение информированности занимающихся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комплекса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для дошкольников: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городской конкурс «Вместе – ЯРЧЕ!»;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движение «Родительский патруль»;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смотр-конкурс «Ладошка в ладошке-безопасная дорожка»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величение охвата участников мероприятий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6.1.3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Краевой слет-конкурс отрядов юных инспекторов движения «ЮИД – на службе безопасности», «Безопасное колесо»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меньшение числа дорожно-транспортных происшествий с участием детей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6.1.4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Style w:val="970"/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Участие во Всероссийской акции «Безопасность детства»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ТО,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меньшение дорожно-транспортных происшествий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6.2. Подготовленность детей к поведению в условиях чрезвычайных ситуаций, безопасному поведению в быту, на дорогах, на природе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тематических бесед, инструктажей, тренировок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занимающимися о действиях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при возникновении чрезвычайной ситуации, размещение памяток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информационных ресурсах учреждений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КФКС, ДКМП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овышение информированности занимающихся о действиях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при возникновении чрезвычайной ситуации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6.2.2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Профилактические мероприятия, направленные на безопасное поведение детей («Поезд безопасности», акция «Сообщи, где торгуют смертью», месячник антинаркотической направленности, акция «Полиция и дети»)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субъекты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стемы профила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меньшение несчастных случаев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участием несовершеннолетних, формирование у ребенка ответственности и поведенческой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общественных местах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Обеспечение мест проживания семей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детьми средствами противопожарной защиты в рамках оказания материальной помощи в натуральной форме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(по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гласованию) ТО, ДСП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87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беспечение семей с детьми, прожив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ющих в домах в деревянном исполн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нии, средствами противопожарной 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щиты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6.3. Реализация мер по профилактике асоциального поведения несовершеннолетних, детских суицидов и других причин потери детского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.3.1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комплекса мероприятий, направленных на профилактику суицидального поведения несовершенн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en-US"/>
              </w:rPr>
              <w:t xml:space="preserve">КДНиЗП,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субъекты системы 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количества суицидальных попыток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суицидов, риска суицидал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ного поведения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.3.2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работы 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етского телефона доверия «Пер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мена», информационные выходы в образовательные учрежд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 деятельности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етского телефона доверия «Перем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редоставление детям и родителям 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стоянного доступа к доверительн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му общению с опытными психолог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условиях анонимности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конфиденц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6.3.3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Оказание социально-правовых услуг семьям поставщиками услуг, направленных 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формирование правовой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культуры несовершеннолетних,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законных представителей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величение охвата семей социально-правовыми услугами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6.3.4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Психолого-педагогическое обследование особенностей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эмоционального реагирования и адаптационных возможностей учащихся 6-11 классов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во всех образовательных учреждениях</w:t>
              <w:br/>
              <w:t xml:space="preserve">г.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2025-202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табилизация эмоционального состояния несовершеннолетних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6.4. Организация работы с несовершеннолетними с противоправным поведением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6.4.1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Организация, участие, проведение спортивных спартакиад среди нес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вершеннолетних, находящихся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конфликте с законом, «Волшебный мяч», «Шаг навстречу»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КФКС, ДСП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ривлечение большего количества нес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вершеннолетних, состоящих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проф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лактическом учете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территор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альных органах внутренних дел,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к здоров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му образу жизни и зан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тиям спортом;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популяризация физической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спорта для сокращения количества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вершаемых правонарушений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престу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лений несовершеннолетними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6.4.2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Мероприятия, направленные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профилактику противоправного поведения несовершеннолетних, состоящих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профилактических учетах («День подростка», оперативно-профилактические мероприятия «Дети России», «Твой выбор», «Занятость»)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субъекты 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стемы профила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овышение уровня правовой грамотности, пропаганда здорового образа жизни, увеличение количества несовершеннолетних, занятых дополнительным образованием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6.4.3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оздоровления, отдыха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занятости детей, состоящих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профилактических учетах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ДСП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КФКС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ДКМП,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рганизация более 10 форм отдыха детей, наиболее эффективных в плане профилактики деструктивных проявлений (профильные смены, отдых в загородных лагерях, проект «Лето на спортплощадке»,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проект индивидуальной трудовой занятости «Шанс»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другие)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1210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6.4.4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Реализация технологии наставничества над несовершеннолетними, находящимися в конфликте с законом с целью решения проблем, связанных с социальной реабилитацией несовершеннолетних, снижением уровня подростковой преступности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 числа несовершеннолетних, склонных к противоправным деяниям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6.4.5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программ восстановительных технологий  муниципальной службой примирения и школьными службами примирения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числа несовершеннолетних, склонных к противоправным деяниям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6.4.6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Привлечение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несовершеннолетних, находящихся в конфликте с законом, окружением и собой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 посещению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социальных кинозалов с просмотром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дискуссионным обсуждением фильмов по тематике актуальных социальных явлений в обществе, в том числе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подростково-молодежной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среде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числа несовершеннолетних, склонных к противоправным деяниям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6.5. Создание безопасного информационного пространства для детей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6.5.1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Мероприятия, направленные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повышение информированности детей и их родителей (законных представителей) о рисках и угрозах, существующих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информационно-телекоммуникационной сети Интернет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увеличение доли родителей, осведомленных о методах обеспечения защиты детей в информационно-телекоммуникационной сети Интернет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6.5.2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Взаимодействие с волонтерским движением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Кибердружина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 города Перми по организации работы в части составления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киберхарактеристик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выявленных несовершеннолетних, состоящих в группах деструктивного характера в социальных сетях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7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доли родителей, осведомленных о методах обеспечения защиты детей в информационно-телекоммуникационной сети Интернет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6.5.3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мероприятий, направленных на развитие компетенций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в сфере информационной безопасности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pStyle w:val="969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цифровой грамотности детей (проект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Кибердружина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конкурс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Безопасный интернет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акция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Толерантные каникулы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кибертурнир, уроки информационной грамотности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Интернет – зона повышенной ответственности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</w:rPr>
              <w:t xml:space="preserve">величение числа учащихся, у которых сформированы компетенции в области информационной и цифровой безопасности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6.6. Разработка и реализация системных решений по оказанию современной помощи детям и родителям в случае нарушения прав и законных интересов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6.6.1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тематической акции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 раздачей информационных листовок, направленных на предотвращение преступлений, связанных с хищением денежных средств с банковских карт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67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нижение преступлений, совершаемых несовершеннолетними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6.7. Предупреждение повторных фактов употребления психоактивных веществ (далее – ПАВ) несовершеннолетними и их родителями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6.7.1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Социальная реабилитация несовершеннолетних, употребляющих ПАВ, в условиях стационара организаций для детей-сирот и детей, оставшихся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без попечения родителей (филиал «Росинка»)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ТУ МТи СР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увеличение количества подростков, прошедших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социальную реабилитацию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6.7.2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ежемесячной межведомственной сверки данных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 фактам выявления потребителей ПАВ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овышение доли несовершеннолетних, поставленных на учет, прошедших консультацию врача-нарколога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6.7.3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Проведение рейдовых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 выявлению несовершеннолетних, употребляющих наркотические средства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tabs>
                <w:tab w:val="center" w:pos="221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 совершающие правонарушения в сфере незаконного оборота наркотических средств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субъекты системы 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снижение количества несовершеннолетних и законных представителей, склонных к употреблению ПАВ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6.8. Сокращение повторной преступности среди несовершеннолетних осужденных, освобожденных из мест лишения свободы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921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6.8.1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Закрепление наставников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 несовершеннолетними, осужденными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за совершение преступлений в рамках реализации проекта «Наставничество59», включение совместных мероприятий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ИПР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повторной преступности среди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6.8.2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овлечение несовершеннолетних учетных категорий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в спортивные и культурно-массовые мероприятия,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в социальные практики и волонтерские движения, действующие при образовательных учреждениях города Перми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повторной преступности среди несовершеннолетних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6.8.3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Организация обучения и устройства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на работу,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привлечение общественных организаций для ресоциализации подростков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несовершеннолетних, освобожденных из мест лишения свободы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ТО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повторной преступности среди несовершеннолетних,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освобожденных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из мест лишения свободы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Социальная адаптация, психологическая помощь для несовершеннолетних, освобожденных из мест лишения свободы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повторной преступности среди несовершеннолетних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освобожденных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из мест лишения свободы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606"/>
        </w:trPr>
        <w:tc>
          <w:tcPr>
            <w:gridSpan w:val="5"/>
            <w:tcW w:w="1528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6.9. Организация работы по оказанию содействия в получении социально-психологической и иной помощи осужденным несовершеннолетним, состоящим на учете в уголовно-исполнительных инспекциях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6.9.1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0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Межведомственное взаимодействие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pStyle w:val="9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  <w:t xml:space="preserve">по оказанию социально-психологической и иной помощи несовершеннолетним, состоящим на учете в уголовно-исполнительной инспекции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субъекты системы профилактики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повышение уровня социальной реабил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тации несовершеннолетних, сост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ящих на учете в уголовно-исполнительной 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спекции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6.9.2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Организация взаимодействия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с госуда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рственным казенным учреждением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Центр зан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ятости населения Пермского края»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по вопросу трудоустройства несовершеннолетних, совершивших преступления, освободившихся из учреждений закрытого типа и воспитательных колоний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количества несовершеннолетних, совершающих преступления, в том числе повторные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63"/>
        </w:trPr>
        <w:tc>
          <w:tcPr>
            <w:tcW w:w="8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6.9.3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36" w:type="dxa"/>
            <w:vMerge w:val="restart"/>
            <w:textDirection w:val="lrTb"/>
            <w:noWrap w:val="false"/>
          </w:tcPr>
          <w:p>
            <w:pPr>
              <w:pStyle w:val="908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Проведение индивидуальных лекций, тренингов с осужденными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несовершеннолетними психологами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уголовно-исполнительной инспекции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36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КДНиЗП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2025-2027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нижение количества несовершеннолетних, совершающих преступления, в том числе повторные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  <w:style w:type="paragraph" w:styleId="967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68" w:customStyle="1">
    <w:name w:val="Исполнитель"/>
    <w:basedOn w:val="84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240" w:lineRule="exact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69" w:customStyle="1">
    <w:name w:val="Table Paragraph"/>
    <w:basedOn w:val="776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70" w:customStyle="1">
    <w:name w:val="Основной текст1"/>
    <w:rPr>
      <w:rFonts w:ascii="Arial" w:hAnsi="Arial" w:eastAsia="Arial" w:cs="Arial"/>
      <w:b/>
      <w:bCs/>
      <w:color w:val="000000"/>
      <w:spacing w:val="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19</cp:revision>
  <dcterms:created xsi:type="dcterms:W3CDTF">2024-10-25T06:26:00Z</dcterms:created>
  <dcterms:modified xsi:type="dcterms:W3CDTF">2025-04-03T10:18:24Z</dcterms:modified>
</cp:coreProperties>
</file>