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highlight w:val="none"/>
          <w:shd w:val="clear" w:color="auto" w:fill="auto"/>
        </w:rPr>
        <w:t xml:space="preserve">от 17.12.2024 № 218 </w:t>
      </w: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«О бюджете города Перми на 2025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highlight w:val="none"/>
          <w:shd w:val="clear" w:color="auto" w:fill="auto"/>
        </w:rPr>
        <w:t xml:space="preserve">и на плановый период 2026 и 2027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 Внести в решени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е Пермской городской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Думы от 17.12.2024 № 218 «О бюд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же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те го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рода Перми на 2025 год и на плановый период 2026 и 2027 годов» (в редакции решения Пермской городской Думы от 25.02.2025 № 25)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изменения: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1.1 статью 1 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«Статья 1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Утвердить основные характеристики бюджета города Перми (далее - бюджет го</w:t>
      </w:r>
      <w:r>
        <w:rPr>
          <w:color w:val="000000" w:themeColor="text1"/>
          <w:sz w:val="28"/>
          <w:szCs w:val="28"/>
          <w:highlight w:val="white"/>
        </w:rPr>
        <w:t xml:space="preserve">рода) </w:t>
      </w:r>
      <w:r>
        <w:rPr>
          <w:color w:val="000000" w:themeColor="text1"/>
          <w:sz w:val="28"/>
          <w:szCs w:val="28"/>
          <w:highlight w:val="white"/>
        </w:rPr>
        <w:t xml:space="preserve">на 2025 год: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1.1 прогнозируемый общий объем доходов бюджета города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59 285 156,416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1.2 общий объем расходов бюджета города в сумме</w:t>
      </w:r>
      <w:r>
        <w:rPr>
          <w:color w:val="000000" w:themeColor="text1"/>
          <w:sz w:val="28"/>
          <w:szCs w:val="28"/>
          <w:highlight w:val="white"/>
        </w:rPr>
        <w:t xml:space="preserve"> 63 700 626,632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1.3 дефицит бюджета города в сумме</w:t>
      </w:r>
      <w:r>
        <w:rPr>
          <w:color w:val="000000" w:themeColor="text1"/>
          <w:sz w:val="28"/>
          <w:szCs w:val="28"/>
          <w:highlight w:val="white"/>
        </w:rPr>
        <w:t xml:space="preserve"> 4 415 470,216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Утвердить основные характеристики бюджета города на 2026 год и на 2027 </w:t>
      </w:r>
      <w:r>
        <w:rPr>
          <w:color w:val="000000" w:themeColor="text1"/>
          <w:sz w:val="28"/>
          <w:szCs w:val="28"/>
          <w:highlight w:val="white"/>
        </w:rPr>
        <w:t xml:space="preserve">год: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2.1 прогнозируемый общий объем доходов бюджета города на 2026 год </w:t>
      </w:r>
      <w:r>
        <w:rPr>
          <w:color w:val="000000" w:themeColor="text1"/>
          <w:sz w:val="28"/>
          <w:szCs w:val="28"/>
          <w:highlight w:val="white"/>
        </w:rPr>
        <w:t xml:space="preserve">в сумме 62 618 213,621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 и на 2027 год в сумме 62 097 770,938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</w:t>
      </w:r>
      <w:r>
        <w:rPr>
          <w:color w:val="000000" w:themeColor="text1"/>
          <w:sz w:val="28"/>
          <w:szCs w:val="28"/>
          <w:highlight w:val="white"/>
        </w:rPr>
        <w:t xml:space="preserve">2 общий объем</w:t>
      </w:r>
      <w:r>
        <w:rPr>
          <w:color w:val="000000" w:themeColor="text1"/>
          <w:sz w:val="28"/>
          <w:szCs w:val="28"/>
          <w:highlight w:val="white"/>
        </w:rPr>
        <w:t xml:space="preserve"> расходов бюджета города на 2026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63 216 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043,821</w:t>
      </w:r>
      <w:r>
        <w:rPr>
          <w:color w:val="000000" w:themeColor="text1"/>
          <w:sz w:val="28"/>
          <w:szCs w:val="28"/>
          <w:highlight w:val="white"/>
        </w:rPr>
        <w:t xml:space="preserve"> тыс. руб., в том числе условно утвержденные расходы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1 139 843,346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 на 2027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61 127 929,038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руб., в том числе условно утвержденные расходы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3 209 064,618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руб.;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829"/>
        <w:ind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2.3 </w:t>
      </w:r>
      <w:r>
        <w:rPr>
          <w:color w:val="000000" w:themeColor="text1"/>
          <w:sz w:val="28"/>
          <w:szCs w:val="28"/>
          <w:highlight w:val="white"/>
        </w:rPr>
        <w:t xml:space="preserve">дефицит</w:t>
      </w:r>
      <w:r>
        <w:rPr>
          <w:color w:val="000000" w:themeColor="text1"/>
          <w:sz w:val="28"/>
          <w:szCs w:val="28"/>
          <w:highlight w:val="white"/>
        </w:rPr>
        <w:t xml:space="preserve"> бюджета города на 2026 год в сумме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597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830,2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 и </w:t>
      </w:r>
      <w:r>
        <w:rPr>
          <w:color w:val="000000" w:themeColor="text1"/>
          <w:sz w:val="28"/>
          <w:szCs w:val="28"/>
          <w:highlight w:val="white"/>
        </w:rPr>
        <w:t xml:space="preserve">профицит бюджета города</w:t>
      </w:r>
      <w:r>
        <w:rPr>
          <w:color w:val="000000" w:themeColor="text1"/>
          <w:sz w:val="28"/>
          <w:szCs w:val="28"/>
          <w:highlight w:val="white"/>
        </w:rPr>
        <w:t xml:space="preserve"> на 2027 год в сумме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969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 w:themeColor="text1"/>
          <w:sz w:val="28"/>
          <w:highlight w:val="white"/>
          <w:u w:val="none"/>
        </w:rPr>
        <w:t xml:space="preserve">841,9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тыс. руб.</w:t>
      </w:r>
      <w:r>
        <w:rPr>
          <w:color w:val="000000" w:themeColor="text1"/>
          <w:sz w:val="28"/>
          <w:szCs w:val="28"/>
          <w:highlight w:val="white"/>
        </w:rPr>
        <w:t xml:space="preserve">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1.2 в с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татье 4: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1.2.1 в пункте 1 слова «на 2025 год в сумме 477 061,206 тыс. руб.,»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заменить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словами «на 2025 год в сумме 238 005,281 тыс. руб.,»;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</w:rPr>
        <w:t xml:space="preserve">1.2.2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пункт 3 изложить в редакции: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«3. Утвердить объем бюджетных ассигнований дорожного фонда города Перми на 2025 год в сумме 7 057 696,047 тыс. руб.,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на 2026 год в сумме 7 046 538,118 тыс. руб.,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на 2027 год в сумме 7 522 662,570 тыс. руб., в том числе с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редства бюджета Пермского края на 2025 год в сумме 976 934,200 тыс. руб., на 2026 год в сумме 976 934,100 тыс. руб., на 2027 год в сумме 976 934,100 тыс. руб.»;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1.3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в статье 6: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1.3.1 в пункте 1: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1.3.1.1 абзац первый 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«1. Установить, что муниципальные заказчики (заказчики) при заключении муниципальных контрактов (договоров) на поставку товаров, выполнение работ, оказание услуг (далее в настоящем пункте - контракт) вправе предусматривать авансовые платежи:»;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1.3.1.2 абзац третий изложить в редакции: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«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в размере до 30% цены контракта на выполнение работ по строительству, реконструкции и (или) капитальному ремонту, в том числе контракта, предметом которого является одновременно подготовка проектной документации и (или) выполнение инженерных изысканий, вып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о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лнение работ по строительству, реконструкции и (или) капитальному ремонту, объектов муниципальной собственности города Перми, но не более лимитов бюджетных обязательств, доведенных на соответствующий финансовый год по соответствующим кодам бюджетной класси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фикации расходов бюджета,»;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1.3.2 пункт 2 признать утратившим силу;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1.3.3 в абзаце втором пункта 3 слова «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ценой 100,0 млн. руб.» заменить словами «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ценой 30,0 млн. руб.»;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1.4 Распределение бюджетных ассигнований по целевым статьям (муниципальным программам и непрог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раммным направлениям деятельности), группам видов расходов, разделам, подразделам классификации расходов бюджетов на 2025 год и на плановый период 2026 и 2027 годов (приложение 1) изложить в редакции согласно приложению 1 к настоящему решению;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1.5 Ведомственную структуру расходов бюджета города Перми на 2025 год и на плановый период 2026 и 2027 годов (приложение 2) изложить в редакции согласно приложению 2 к настоящему решению;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1.6 Перечень объектов капитал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2025 год и на плановый период 2026 и 2027 годов (приложение 3) изложить в редакции согласно приложению 3 к настоящему решению;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ind w:right="0" w:firstLine="720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1.7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Источники финансирования дефицита бюджета города Перми на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 год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на плановый период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 и 202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 годов (приложение 4) изложить в редакции согласно приложению 4 к настоящему решению</w:t>
      </w:r>
      <w:r>
        <w:rPr>
          <w:color w:val="000000" w:themeColor="text1"/>
          <w:sz w:val="28"/>
          <w:szCs w:val="28"/>
          <w:highlight w:val="white"/>
        </w:rPr>
        <w:t xml:space="preserve">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1.8 </w:t>
      </w:r>
      <w:r>
        <w:rPr>
          <w:color w:val="auto"/>
          <w:sz w:val="28"/>
          <w:szCs w:val="28"/>
          <w:highlight w:val="white"/>
        </w:rPr>
        <w:t xml:space="preserve">В сл</w:t>
      </w:r>
      <w:r>
        <w:rPr>
          <w:color w:val="auto"/>
          <w:sz w:val="28"/>
          <w:szCs w:val="28"/>
          <w:highlight w:val="white"/>
        </w:rPr>
        <w:t xml:space="preserve">учаях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</w:t>
      </w:r>
      <w:r>
        <w:rPr>
          <w:color w:val="auto"/>
          <w:sz w:val="28"/>
          <w:szCs w:val="28"/>
          <w:highlight w:val="white"/>
        </w:rPr>
        <w:t xml:space="preserve"> организациям, грантов в фор</w:t>
      </w:r>
      <w:r>
        <w:rPr>
          <w:color w:val="auto"/>
          <w:sz w:val="28"/>
          <w:szCs w:val="28"/>
          <w:highlight w:val="white"/>
        </w:rPr>
        <w:t xml:space="preserve">ме субсидий (приложение 7):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1.8.1 дополнить строкой 1.15 следующего содержания: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«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Style w:val="70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9179"/>
      </w:tblGrid>
      <w:tr>
        <w:tblPrEx/>
        <w:trPr/>
        <w:tc>
          <w:tcPr>
            <w:tcW w:w="83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1.15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9179" w:type="dxa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31363d"/>
                <w:sz w:val="28"/>
                <w:szCs w:val="28"/>
                <w:highlight w:val="white"/>
              </w:rPr>
              <w:t xml:space="preserve">муниципальному унитарному предприятию «Пермгорэлектротранс»</w:t>
              <w:br/>
              <w:t xml:space="preserve">в целях возмещения </w:t>
            </w:r>
            <w:r>
              <w:rPr>
                <w:rFonts w:ascii="Times New Roman" w:hAnsi="Times New Roman" w:eastAsia="Times New Roman" w:cs="Times New Roman"/>
                <w:color w:val="31363d"/>
                <w:sz w:val="28"/>
                <w:szCs w:val="28"/>
                <w:highlight w:val="white"/>
              </w:rPr>
              <w:t xml:space="preserve">затрат</w:t>
            </w:r>
            <w:r>
              <w:rPr>
                <w:rFonts w:ascii="Times New Roman" w:hAnsi="Times New Roman" w:eastAsia="Times New Roman" w:cs="Times New Roman"/>
                <w:color w:val="31363d"/>
                <w:sz w:val="28"/>
                <w:szCs w:val="28"/>
                <w:highlight w:val="white"/>
              </w:rPr>
              <w:t xml:space="preserve">, связанных с приобретением подвижного состава (автобусов) для перевозки пассажиров автомобильным транспортом на муниципальных маршрутах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ind w:right="0" w:firstLine="720"/>
        <w:jc w:val="right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right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1.8.2 строку 2.21 исключить</w:t>
      </w:r>
      <w:r>
        <w:rPr>
          <w:color w:val="auto"/>
          <w:sz w:val="28"/>
          <w:szCs w:val="28"/>
          <w:highlight w:val="white"/>
        </w:rPr>
        <w:t xml:space="preserve">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1.8.3 дополнить строкой 2.24 следующего содержания: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«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1012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92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9"/>
              <w:jc w:val="center"/>
              <w:spacing w:line="240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2.24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spacing w:line="240" w:lineRule="auto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н</w:t>
            </w:r>
            <w:r>
              <w:rPr>
                <w:sz w:val="28"/>
                <w:szCs w:val="28"/>
                <w:highlight w:val="white"/>
              </w:rPr>
              <w:t xml:space="preserve">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на финансовое обеспечение затрат, связанных с оказанием содействия субъекту физической культуры и спо</w:t>
            </w:r>
            <w:r>
              <w:rPr>
                <w:sz w:val="28"/>
                <w:szCs w:val="28"/>
                <w:highlight w:val="white"/>
              </w:rPr>
              <w:t xml:space="preserve">рта, осуществляющему свою деятельность на территории города Перми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ind w:right="0" w:firstLine="720"/>
        <w:jc w:val="right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»;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1.8.4 строку 3.1 изложить в редакции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right="0" w:firstLine="720"/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«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tbl>
      <w:tblPr>
        <w:tblW w:w="1012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927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9"/>
              <w:ind w:left="0" w:right="0" w:firstLine="0"/>
              <w:jc w:val="center"/>
              <w:spacing w:line="240" w:lineRule="auto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3.1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spacing w:line="240" w:lineRule="auto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екоммерческим организациям, не являющимся казенными учреждениями, в том числе общественным объединениям, территориальным общественным самоуправлениям, муниципальным бюджетным и автономным учреждениям, зарегистрированным в к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ачестве юридического лица на территории города Перми и планирующим реализацию мероприятий проекта на территории города Перми, на финансовое обеспечение затрат, связанных с реализац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ией социально значимых проектов победителями ежегодного городского конкурса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  <w:highlight w:val="white"/>
              </w:rPr>
              <w:t xml:space="preserve">социальн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 значимых проектов, конкурса локальных инициатив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ind w:right="0" w:firstLine="720"/>
        <w:jc w:val="right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2. 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Настоящее решение вступает в с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илу со дня его официального обнародова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ния посредством официального опубликования 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3. Обнародовать настоящее решение по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 сетевом издании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white"/>
          <w:shd w:val="clear" w:color="auto" w:fill="auto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white"/>
          <w:shd w:val="clear" w:color="auto" w:fill="auto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white"/>
          <w:shd w:val="clear" w:color="auto" w:fill="auto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».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4. 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rPr>
          <w:rFonts w:eastAsia="Calibri"/>
          <w:color w:val="000000" w:themeColor="text1"/>
          <w:sz w:val="28"/>
          <w:szCs w:val="28"/>
          <w:highlight w:val="white"/>
        </w:rPr>
      </w:pP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  <w:r>
        <w:rPr>
          <w:rFonts w:eastAsia="Calibri"/>
          <w:color w:val="000000" w:themeColor="text1"/>
          <w:sz w:val="28"/>
          <w:szCs w:val="28"/>
          <w:highlight w:val="white"/>
        </w:rPr>
      </w:r>
    </w:p>
    <w:p>
      <w:pPr>
        <w:pStyle w:val="829"/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pP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white"/>
          <w:shd w:val="clear" w:color="auto" w:fill="auto"/>
        </w:rPr>
      </w:r>
    </w:p>
    <w:p>
      <w:pPr>
        <w:pStyle w:val="829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rPr>
          <w:color w:val="000000" w:themeColor="text1"/>
          <w:highlight w:val="white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       </w:t>
      </w:r>
      <w:r>
        <w:rPr>
          <w:color w:val="000000" w:themeColor="text1"/>
          <w:highlight w:val="white"/>
          <w:shd w:val="clear" w:color="auto" w:fill="auto"/>
        </w:rPr>
      </w:r>
      <w:r>
        <w:rPr>
          <w:color w:val="000000" w:themeColor="text1"/>
          <w:highlight w:val="white"/>
          <w:shd w:val="clear" w:color="auto" w:fill="auto"/>
        </w:rPr>
      </w:r>
    </w:p>
    <w:p>
      <w:pPr>
        <w:pStyle w:val="829"/>
        <w:jc w:val="both"/>
        <w:rPr>
          <w:color w:val="000000" w:themeColor="text1"/>
          <w:highlight w:val="yellow"/>
          <w:shd w:val="clear" w:color="auto" w:fill="auto"/>
        </w:rPr>
      </w:pP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Глава города Перми               </w:t>
        <w:tab/>
        <w:tab/>
        <w:tab/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ab/>
        <w:tab/>
        <w:tab/>
        <w:tab/>
      </w:r>
      <w:r>
        <w:rPr>
          <w:color w:val="000000" w:themeColor="text1"/>
          <w:sz w:val="28"/>
          <w:szCs w:val="28"/>
          <w:highlight w:val="white"/>
          <w:shd w:val="clear" w:color="auto" w:fill="auto"/>
        </w:rPr>
        <w:t xml:space="preserve">          Э.О. Соснин</w:t>
      </w:r>
      <w:r>
        <w:rPr>
          <w:color w:val="000000" w:themeColor="text1"/>
          <w:highlight w:val="yellow"/>
          <w:shd w:val="clear" w:color="auto" w:fill="auto"/>
        </w:rPr>
      </w:r>
      <w:r>
        <w:rPr>
          <w:color w:val="000000" w:themeColor="text1"/>
          <w:highlight w:val="yellow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lastModifiedBy>dolgikh-ma</cp:lastModifiedBy>
  <cp:revision>545</cp:revision>
  <dcterms:created xsi:type="dcterms:W3CDTF">2020-03-03T12:21:00Z</dcterms:created>
  <dcterms:modified xsi:type="dcterms:W3CDTF">2025-04-01T09:54:22Z</dcterms:modified>
</cp:coreProperties>
</file>