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Об утверждении Порядка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предоставления субсидий на иные цели бюджетным и автономным учреждениям на </w:t>
      </w:r>
      <w:r>
        <w:rPr>
          <w:b/>
        </w:rPr>
        <w:t xml:space="preserve">капитальный</w:t>
      </w:r>
      <w:r>
        <w:rPr>
          <w:b/>
        </w:rPr>
        <w:t xml:space="preserve">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ремонт и оснащение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образовательных организаций,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осуществляющих</w:t>
      </w:r>
      <w:r>
        <w:rPr>
          <w:b/>
        </w:rPr>
        <w:t xml:space="preserve"> образовательную деятельность по образовательным программам дошкольного </w:t>
      </w:r>
      <w:r>
        <w:rPr>
          <w:b/>
          <w:bCs/>
        </w:rPr>
      </w:r>
    </w:p>
    <w:p>
      <w:pPr>
        <w:pStyle w:val="911"/>
        <w:ind w:right="5095"/>
        <w:spacing w:line="240" w:lineRule="exact"/>
        <w:rPr>
          <w:b/>
          <w:bCs/>
        </w:rPr>
      </w:pPr>
      <w:r>
        <w:rPr>
          <w:b/>
        </w:rPr>
        <w:t xml:space="preserve">образования</w:t>
      </w:r>
      <w:r>
        <w:t xml:space="preserve"> </w:t>
      </w:r>
      <w:r>
        <w:rPr>
          <w:b/>
          <w:bCs/>
        </w:rPr>
      </w:r>
    </w:p>
    <w:p>
      <w:pPr>
        <w:pStyle w:val="911"/>
        <w:ind w:right="5095"/>
      </w:pPr>
      <w:r/>
      <w:r/>
    </w:p>
    <w:p>
      <w:pPr>
        <w:pStyle w:val="911"/>
        <w:ind w:right="5095"/>
      </w:pPr>
      <w:r/>
      <w:r/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>
        <w:rPr>
          <w:sz w:val="28"/>
          <w:szCs w:val="28"/>
        </w:rPr>
        <w:br/>
        <w:t xml:space="preserve">от 25 мая 2022 г. № 432-п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субсидий из бюджета Пермского края бюджетам муниципальных образований Пермского края на реализацию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роприятий, направленных на капитальный ремонт зданий образовательных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низаций»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бюджетным и автономным учреждениям на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питальный ремонт и оснащение образовательных организаций, осуществляющих образовательную деятельность по образовательным программам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 и распространяется на правоотношения, возникшие с 24 февраля 2025 г.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900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14.04.2025 № 251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1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2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 на капитальный ремонт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оснащение образовательных организаций, осуществляющих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образовательную деятельность по образовательным программам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 о предоставлении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объем и условия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сидий на иные цели на капитальный ремонт и оснащение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низаций, осуществляющих образовательную деятельность по образовательным программам дошкольного образования муниципальным, бюджетным и автоно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ным учреждениям, в отношении которых департамент образования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города Перми осуществляет функции и полномочия учредителя (далее –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рядок, субсидии на иные цели, Учреждения, Департамент).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предоставления субсидий на иные цели является обновление инфраструктуры образовательных организаций, реализующих программы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школьного образования, создание комфортной и безопасной среды, переход Учреждений на новый качественный уровень обучения посредством проведения капитального ремонта </w:t>
      </w:r>
      <w:r>
        <w:rPr>
          <w:bCs/>
          <w:sz w:val="28"/>
          <w:szCs w:val="28"/>
        </w:rPr>
        <w:t xml:space="preserve">в рамках федерального проекта «Поддержка семьи», вх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дящего в состав национального проекта «Семья», </w:t>
      </w:r>
      <w:r>
        <w:rPr>
          <w:sz w:val="28"/>
          <w:szCs w:val="28"/>
        </w:rPr>
        <w:t xml:space="preserve">в рамках выполнения меропр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ятий муниципальной программы «Доступное и качественное образование».</w:t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направляются на выполнение работ по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тальному ремонту зданий образовательных организаций, ведущих 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деятельность по образовательным программам дошкольного образования.</w:t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капитальному ремонту зданий дошкольных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организаций, подлежащих </w:t>
      </w:r>
      <w:r>
        <w:rPr>
          <w:sz w:val="28"/>
          <w:szCs w:val="28"/>
        </w:rPr>
        <w:t xml:space="preserve">софинансированию</w:t>
      </w:r>
      <w:r>
        <w:rPr>
          <w:sz w:val="28"/>
          <w:szCs w:val="28"/>
        </w:rPr>
        <w:t xml:space="preserve"> из федерального бюджета (далее – перечень работ по капитальному ремонту), установлен в приложении </w:t>
      </w:r>
      <w:r>
        <w:rPr>
          <w:sz w:val="28"/>
          <w:szCs w:val="28"/>
        </w:rPr>
        <w:br/>
        <w:t xml:space="preserve">к Правилам предоставления и распреде</w:t>
      </w:r>
      <w:r>
        <w:rPr>
          <w:sz w:val="28"/>
          <w:szCs w:val="28"/>
        </w:rPr>
        <w:t xml:space="preserve">ления субсидий из федерального бюджета бюджетам субъектов Российской Федерации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в рамках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программы Российской Федерации «Развитие образования»,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постановлением Правительства Российской Федерации от 26 декабря 2017 г. № 1642.</w:t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Перечень средств обучения и воспитания, необходимых для реализации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разовательных программ дошкольного образования, присмотра и ухода за детьми в организациях, осуществляющих образовательную деятельность по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 программам дошкольного образования, в целях реализации мероприятий </w:t>
      </w:r>
      <w:r>
        <w:rPr>
          <w:sz w:val="28"/>
          <w:szCs w:val="28"/>
        </w:rPr>
        <w:t xml:space="preserve">государственной программы Российской Федерации «Развитие образования» </w:t>
      </w:r>
      <w:r>
        <w:rPr>
          <w:sz w:val="28"/>
          <w:szCs w:val="28"/>
        </w:rPr>
        <w:br/>
        <w:t xml:space="preserve">по капитальному ремонту, строительству и оснащению указанных организаций, утвержден приказом Министерства просвещения Российской Федерации от 25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 2024 г. № 1057.</w:t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Средства субсидии на иные цели направляются на объекты, по которым не ранее 01 января 2024 г. получено положительное заключение государственной </w:t>
      </w:r>
      <w:r>
        <w:rPr>
          <w:sz w:val="28"/>
          <w:szCs w:val="28"/>
        </w:rPr>
        <w:t xml:space="preserve">экспертизы проверки достоверности определения сметной стоимости капитальн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ремонта соответствующего</w:t>
      </w:r>
      <w:r>
        <w:rPr>
          <w:sz w:val="28"/>
          <w:szCs w:val="28"/>
        </w:rPr>
        <w:t xml:space="preserve"> объекта, содержащее итоговую стоимостную оце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ку запланированных видов работ в рамках перечня работ по капитальному ремо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ту.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 и лимитов бюджетных обязательств на текущий фина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совый год и плановый период на основании сводной бюджетной росписи бюдж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та города Перми за счет средств бюджета Российской Федерации, бюджета Пер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ского края и бюджета города Перми в рамках реализации мероприятий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 «Доступное и качественное образование».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 xml:space="preserve">Для получения субсидий на иные цели Учреждения, прошедшие отбор </w:t>
      </w:r>
      <w:r>
        <w:rPr>
          <w:sz w:val="28"/>
        </w:rPr>
        <w:br/>
        <w:t xml:space="preserve">в соответствии с Правилами предоставления и распределения субсидий из фед</w:t>
      </w:r>
      <w:r>
        <w:rPr>
          <w:sz w:val="28"/>
        </w:rPr>
        <w:t xml:space="preserve">е</w:t>
      </w:r>
      <w:r>
        <w:rPr>
          <w:sz w:val="28"/>
        </w:rPr>
        <w:t xml:space="preserve">рального бюджета бюджетам субъектов Российской Федерации на капитальный ремонт и оснащение образовательных организаций, осуществляющих образов</w:t>
      </w:r>
      <w:r>
        <w:rPr>
          <w:sz w:val="28"/>
        </w:rPr>
        <w:t xml:space="preserve">а</w:t>
      </w:r>
      <w:r>
        <w:rPr>
          <w:sz w:val="28"/>
        </w:rPr>
        <w:t xml:space="preserve">тельную деятельность по образовательным программам дошкольного образов</w:t>
      </w:r>
      <w:r>
        <w:rPr>
          <w:sz w:val="28"/>
        </w:rPr>
        <w:t xml:space="preserve">а</w:t>
      </w:r>
      <w:r>
        <w:rPr>
          <w:sz w:val="28"/>
        </w:rPr>
        <w:t xml:space="preserve">ния, являющимися приложением № 37 к государственной программе Российской Федерации «Развитие образования», утвержденной постановлением Правител</w:t>
      </w:r>
      <w:r>
        <w:rPr>
          <w:sz w:val="28"/>
        </w:rPr>
        <w:t xml:space="preserve">ь</w:t>
      </w:r>
      <w:r>
        <w:rPr>
          <w:sz w:val="28"/>
        </w:rPr>
        <w:t xml:space="preserve">ства Российской Федерации от 26 декабря 2017 г. № 1642</w:t>
      </w:r>
      <w:r>
        <w:rPr>
          <w:sz w:val="28"/>
        </w:rPr>
        <w:t xml:space="preserve">, представляют </w:t>
      </w:r>
      <w:r>
        <w:rPr>
          <w:sz w:val="28"/>
        </w:rPr>
        <w:br/>
        <w:t xml:space="preserve">в Департамент:</w:t>
      </w:r>
      <w:bookmarkStart w:id="0" w:name="_GoBack"/>
      <w:r/>
      <w:bookmarkEnd w:id="0"/>
      <w:r/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пояснительную записку, содержащую обоснование необходимости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ставления субсидий на иные цели;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расчет-обоснование суммы субсидий на иные цели согласно приложению </w:t>
      </w:r>
      <w:r>
        <w:rPr>
          <w:sz w:val="28"/>
        </w:rPr>
        <w:br/>
        <w:t xml:space="preserve">к настоящему Порядку;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перечень объектов, подлежащих ремонту, акт обследования таких объектов и дефектную ведомость;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проектную или сметную документацию на проведение капитального ремо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 зданий, по которой получено положительное заключение государственной </w:t>
      </w:r>
      <w:r>
        <w:rPr>
          <w:sz w:val="28"/>
          <w:szCs w:val="28"/>
        </w:rPr>
        <w:t xml:space="preserve">эк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пертизы проверки достоверности определения сметной стоимости капитального ремонта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положительное заключение государственной экспертизы (с датой – не ранее 01 января 2024 г.) проверки достоверности определения сметной стоимости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тального ремонта, содержащее итоговую стоимостную оценку запланированных видов работ в рамках перечня работ по капитальному строительству;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информацию </w:t>
      </w:r>
      <w:r>
        <w:rPr>
          <w:sz w:val="28"/>
        </w:rPr>
        <w:t xml:space="preserve">о планируемом к приобретению имуществе с обоснованием цены планируемого к приобретению имущества на основании</w:t>
      </w:r>
      <w:r>
        <w:rPr>
          <w:sz w:val="28"/>
        </w:rPr>
        <w:t xml:space="preserve"> прайс-листов, ко</w:t>
      </w:r>
      <w:r>
        <w:rPr>
          <w:sz w:val="28"/>
        </w:rPr>
        <w:t xml:space="preserve">м</w:t>
      </w:r>
      <w:r>
        <w:rPr>
          <w:sz w:val="28"/>
        </w:rPr>
        <w:t xml:space="preserve">мерческих предложений с приложением не менее 3 источников ценовой инфо</w:t>
      </w:r>
      <w:r>
        <w:rPr>
          <w:sz w:val="28"/>
        </w:rPr>
        <w:t xml:space="preserve">р</w:t>
      </w:r>
      <w:r>
        <w:rPr>
          <w:sz w:val="28"/>
        </w:rPr>
        <w:t xml:space="preserve">мации (в случае если планируется приобретение имущества);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  <w:t xml:space="preserve">по уплате налогов, сборов и иных обязательных платежей в бюджеты бюджетной системы Российской Федерации.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Cs/>
          <w:sz w:val="28"/>
          <w:szCs w:val="28"/>
        </w:rPr>
        <w:t xml:space="preserve">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неисполненной обязанности по уплате налогов, сборов, страх</w:t>
      </w:r>
      <w:r>
        <w:rPr>
          <w:sz w:val="28"/>
        </w:rPr>
        <w:t xml:space="preserve">о</w:t>
      </w:r>
      <w:r>
        <w:rPr>
          <w:sz w:val="28"/>
        </w:rPr>
        <w:t xml:space="preserve">вых взносов, пеней, штрафов, процентов, подлежащих уплате в соответствии </w:t>
      </w:r>
      <w:r>
        <w:rPr>
          <w:sz w:val="28"/>
        </w:rPr>
        <w:br/>
        <w:t xml:space="preserve">с законодательством Российской Федерации о налогах и сборах;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задолженности по возврату в бюджет города Пе</w:t>
      </w:r>
      <w:r>
        <w:rPr>
          <w:sz w:val="28"/>
        </w:rPr>
        <w:t xml:space="preserve">р</w:t>
      </w:r>
      <w:r>
        <w:rPr>
          <w:sz w:val="28"/>
        </w:rPr>
        <w:t xml:space="preserve">ми субсидий, бюджетных инвестиций, </w:t>
      </w:r>
      <w:r>
        <w:rPr>
          <w:sz w:val="28"/>
        </w:rPr>
        <w:t xml:space="preserve">предоставленных</w:t>
      </w:r>
      <w:r>
        <w:rPr>
          <w:sz w:val="28"/>
        </w:rPr>
        <w:t xml:space="preserve"> в том числе в соотве</w:t>
      </w:r>
      <w:r>
        <w:rPr>
          <w:sz w:val="28"/>
        </w:rPr>
        <w:t xml:space="preserve">т</w:t>
      </w:r>
      <w:r>
        <w:rPr>
          <w:sz w:val="28"/>
        </w:rPr>
        <w:t xml:space="preserve">ствии с иными правовыми актами, и иной просроченной задолженности перед бюджетом города Перми.</w:t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2.3. </w:t>
      </w:r>
      <w:r>
        <w:rPr>
          <w:bCs/>
          <w:sz w:val="28"/>
        </w:rPr>
        <w:t xml:space="preserve">Для рассмотрения и оценки документов, представляемых Учреждени</w:t>
      </w:r>
      <w:r>
        <w:rPr>
          <w:bCs/>
          <w:sz w:val="28"/>
        </w:rPr>
        <w:t xml:space="preserve">я</w:t>
      </w:r>
      <w:r>
        <w:rPr>
          <w:bCs/>
          <w:sz w:val="28"/>
        </w:rPr>
        <w:t xml:space="preserve">ми Департаменту для получения субсидии на иные цели, создается комиссия, с</w:t>
      </w:r>
      <w:r>
        <w:rPr>
          <w:bCs/>
          <w:sz w:val="28"/>
        </w:rPr>
        <w:t xml:space="preserve">о</w:t>
      </w:r>
      <w:r>
        <w:rPr>
          <w:bCs/>
          <w:sz w:val="28"/>
        </w:rPr>
        <w:t xml:space="preserve">стоящая из числа муниципальных служащих Департамента и директора муниц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пального казенного учреждения «Центр бухгалтерского учета и отчетности в сф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ре образования» города Перми (далее – Комиссия). Положение о Комисс</w:t>
      </w:r>
      <w:r>
        <w:rPr>
          <w:bCs/>
          <w:sz w:val="28"/>
        </w:rPr>
        <w:t xml:space="preserve">ии и ее</w:t>
      </w:r>
      <w:r>
        <w:rPr>
          <w:bCs/>
          <w:sz w:val="28"/>
        </w:rPr>
        <w:t xml:space="preserve"> состав утверждаются приказом начальника Департамента.</w:t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Рассмотрение и оценка документов на полноту их представления </w:t>
      </w:r>
      <w:r>
        <w:rPr>
          <w:bCs/>
          <w:sz w:val="28"/>
        </w:rPr>
        <w:br/>
        <w:t xml:space="preserve">в соответствии с пунктом 2.1 настоящего Порядка осуществляются Комиссией </w:t>
      </w:r>
      <w:r>
        <w:rPr>
          <w:bCs/>
          <w:sz w:val="28"/>
        </w:rPr>
        <w:br/>
        <w:t xml:space="preserve">в течение 10 рабочих дней с даты их представления.</w:t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Комиссия со дня рассмотрения документов, указанных в пункте 2.1 насто</w:t>
      </w:r>
      <w:r>
        <w:rPr>
          <w:sz w:val="28"/>
        </w:rPr>
        <w:t xml:space="preserve">я</w:t>
      </w:r>
      <w:r>
        <w:rPr>
          <w:sz w:val="28"/>
        </w:rPr>
        <w:t xml:space="preserve">щего Порядка, принимает решение о предоставлении субсидий или об отказе </w:t>
      </w:r>
      <w:r>
        <w:rPr>
          <w:sz w:val="28"/>
        </w:rPr>
        <w:br/>
        <w:t xml:space="preserve">в предоставлении субсидий, либо о необходимости представления Учреждением недостающих документов.</w:t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Департамент уведомляет Учреждение о принятом </w:t>
      </w:r>
      <w:r>
        <w:rPr>
          <w:bCs/>
          <w:sz w:val="28"/>
        </w:rPr>
        <w:t xml:space="preserve">решении</w:t>
      </w:r>
      <w:r>
        <w:rPr>
          <w:bCs/>
          <w:sz w:val="28"/>
        </w:rPr>
        <w:t xml:space="preserve"> о предоставл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нии субсидии на иные цели и размере субсидии в течение 15 рабочих дней со дня проведения заседания Комиссии.</w:t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Комиссия после принятия решения о предоставлении субсидии: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определяет размер субсидии для Учреждений в соответствии с предста</w:t>
      </w:r>
      <w:r>
        <w:rPr>
          <w:sz w:val="28"/>
        </w:rPr>
        <w:t xml:space="preserve">в</w:t>
      </w:r>
      <w:r>
        <w:rPr>
          <w:sz w:val="28"/>
        </w:rPr>
        <w:t xml:space="preserve">ленными документами;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оформляет протокол, который подписывается всеми членами Комиссии </w:t>
      </w:r>
      <w:r>
        <w:rPr>
          <w:sz w:val="28"/>
        </w:rPr>
        <w:br/>
        <w:t xml:space="preserve">в день принятия решения (далее – протокол);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40"/>
        </w:rPr>
      </w:pPr>
      <w:r>
        <w:rPr>
          <w:sz w:val="28"/>
        </w:rPr>
        <w:t xml:space="preserve">Департамент в течение 10 рабочих дней со дня подписания протокола обе</w:t>
      </w:r>
      <w:r>
        <w:rPr>
          <w:sz w:val="28"/>
        </w:rPr>
        <w:t xml:space="preserve">с</w:t>
      </w:r>
      <w:r>
        <w:rPr>
          <w:sz w:val="28"/>
        </w:rPr>
        <w:t xml:space="preserve">печивает подготовку и подписание приказа, устанавливающего размер субсидии для Учреждений в соответствии с указанным протоколом (далее – Приказ </w:t>
      </w:r>
      <w:r>
        <w:rPr>
          <w:sz w:val="28"/>
        </w:rPr>
        <w:br/>
        <w:t xml:space="preserve">об утверждении размера субсидии)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40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 Основания для отказа Учреждениям в предоставлении субсидий </w:t>
      </w:r>
      <w:r>
        <w:rPr>
          <w:sz w:val="28"/>
        </w:rPr>
        <w:br/>
        <w:t xml:space="preserve">на иные цели: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>
        <w:rPr>
          <w:sz w:val="28"/>
        </w:rPr>
        <w:t xml:space="preserve">д</w:t>
      </w:r>
      <w:r>
        <w:rPr>
          <w:sz w:val="28"/>
        </w:rPr>
        <w:t xml:space="preserve">ставление (представление не в полном объеме) указанных документов;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недостоверность информации, содержащейся в документах, представле</w:t>
      </w:r>
      <w:r>
        <w:rPr>
          <w:sz w:val="28"/>
        </w:rPr>
        <w:t xml:space="preserve">н</w:t>
      </w:r>
      <w:r>
        <w:rPr>
          <w:sz w:val="28"/>
        </w:rPr>
        <w:t xml:space="preserve">ных Учреждениями в соответствии с пунктом 2.1 настоящего Порядка.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 Размер субсидии определяется исходя из стоимости работ по капитал</w:t>
      </w:r>
      <w:r>
        <w:rPr>
          <w:sz w:val="28"/>
        </w:rPr>
        <w:t xml:space="preserve">ь</w:t>
      </w:r>
      <w:r>
        <w:rPr>
          <w:sz w:val="28"/>
        </w:rPr>
        <w:t xml:space="preserve">ному ремонту и оснащению зданий средствами обучения и воспитания в соотве</w:t>
      </w:r>
      <w:r>
        <w:rPr>
          <w:sz w:val="28"/>
        </w:rPr>
        <w:t xml:space="preserve">т</w:t>
      </w:r>
      <w:r>
        <w:rPr>
          <w:sz w:val="28"/>
        </w:rPr>
        <w:t xml:space="preserve">ствии со сметной стоимостью капитального ремонта, по которой получено пол</w:t>
      </w:r>
      <w:r>
        <w:rPr>
          <w:sz w:val="28"/>
        </w:rPr>
        <w:t xml:space="preserve">о</w:t>
      </w:r>
      <w:r>
        <w:rPr>
          <w:sz w:val="28"/>
        </w:rPr>
        <w:t xml:space="preserve">жительное заключение государственной экспертизы, и стоимости планируемого </w:t>
      </w:r>
      <w:r>
        <w:rPr>
          <w:sz w:val="28"/>
        </w:rPr>
        <w:br/>
        <w:t xml:space="preserve">к приобретению имущества в соответствии с коммерческими предложениями </w:t>
      </w:r>
      <w:r>
        <w:rPr>
          <w:sz w:val="28"/>
        </w:rPr>
        <w:br/>
        <w:t xml:space="preserve">на основании не менее 3 источников ценовой информации.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2.6. В случае изменения сметной стоимости капитального ремонта при наличии </w:t>
      </w:r>
      <w:r>
        <w:rPr>
          <w:sz w:val="28"/>
          <w:szCs w:val="28"/>
        </w:rPr>
        <w:t xml:space="preserve">положительного </w:t>
      </w:r>
      <w:r>
        <w:rPr>
          <w:sz w:val="28"/>
          <w:szCs w:val="28"/>
        </w:rPr>
        <w:t xml:space="preserve">заключения государственной экспертизы проверки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стоверности определения сметной стоимости капитального ремонта соответств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</w:t>
      </w:r>
      <w:r>
        <w:rPr>
          <w:sz w:val="28"/>
          <w:szCs w:val="28"/>
        </w:rPr>
        <w:t xml:space="preserve"> объекта, содержащей итоговую стоимостную оценку запланированных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дов работ в рамках перечня работ по капитальному строительству,</w:t>
      </w:r>
      <w:r>
        <w:rPr>
          <w:sz w:val="28"/>
        </w:rPr>
        <w:t xml:space="preserve"> Учреждения представляют документы в соответствии с пунктом 2.1 настоящего Порядка.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 (далее – Соглашение), з</w:t>
      </w:r>
      <w:r>
        <w:rPr>
          <w:sz w:val="28"/>
        </w:rPr>
        <w:t xml:space="preserve">а</w:t>
      </w:r>
      <w:r>
        <w:rPr>
          <w:sz w:val="28"/>
        </w:rPr>
        <w:t xml:space="preserve">ключенным между Департаментом и Учреждением по типовой форме, утве</w:t>
      </w:r>
      <w:r>
        <w:rPr>
          <w:sz w:val="28"/>
        </w:rPr>
        <w:t xml:space="preserve">р</w:t>
      </w:r>
      <w:r>
        <w:rPr>
          <w:sz w:val="28"/>
        </w:rPr>
        <w:t xml:space="preserve">жденной приказом Министерства финансов Российской Федерации (далее – тип</w:t>
      </w:r>
      <w:r>
        <w:rPr>
          <w:sz w:val="28"/>
        </w:rPr>
        <w:t xml:space="preserve">о</w:t>
      </w:r>
      <w:r>
        <w:rPr>
          <w:sz w:val="28"/>
        </w:rPr>
        <w:t xml:space="preserve">вая форма), </w:t>
      </w:r>
      <w:r>
        <w:rPr>
          <w:bCs/>
          <w:sz w:val="28"/>
        </w:rPr>
        <w:t xml:space="preserve">не позднее 10 рабочих дней со дня утверждения настоящего Порядка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Условиями заключения Соглашения являются: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соответствие Учреждений требованиям, установленным пунктом 2.2 наст</w:t>
      </w:r>
      <w:r>
        <w:rPr>
          <w:sz w:val="28"/>
        </w:rPr>
        <w:t xml:space="preserve">о</w:t>
      </w:r>
      <w:r>
        <w:rPr>
          <w:sz w:val="28"/>
        </w:rPr>
        <w:t xml:space="preserve">ящего Порядка;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бюджетных ассигнований на предоставление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 в сводной бюджетной росписи, в муниципальной программе «Доступное и к</w:t>
      </w:r>
      <w:r>
        <w:rPr>
          <w:sz w:val="28"/>
        </w:rPr>
        <w:t xml:space="preserve">а</w:t>
      </w:r>
      <w:r>
        <w:rPr>
          <w:sz w:val="28"/>
        </w:rPr>
        <w:t xml:space="preserve">чественное образование».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2.9. Внесение изменений в Соглашения.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сводную бюджетную роспись, </w:t>
      </w:r>
      <w:r>
        <w:rPr>
          <w:bCs/>
          <w:sz w:val="28"/>
        </w:rPr>
        <w:t xml:space="preserve">Приказ </w:t>
      </w:r>
      <w:r>
        <w:rPr>
          <w:sz w:val="28"/>
        </w:rPr>
        <w:t xml:space="preserve">об утверждении размера субсидии, требующих внесения изменений в Соглаш</w:t>
      </w:r>
      <w:r>
        <w:rPr>
          <w:sz w:val="28"/>
        </w:rPr>
        <w:t xml:space="preserve">е</w:t>
      </w:r>
      <w:r>
        <w:rPr>
          <w:sz w:val="28"/>
        </w:rPr>
        <w:t xml:space="preserve">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Дополнительные соглашения к указанному Соглашению, предусматрива</w:t>
      </w:r>
      <w:r>
        <w:rPr>
          <w:sz w:val="28"/>
        </w:rPr>
        <w:t xml:space="preserve">ю</w:t>
      </w:r>
      <w:r>
        <w:rPr>
          <w:sz w:val="28"/>
        </w:rPr>
        <w:t xml:space="preserve">щие внесение в него изменений или его расторжение, заключаются в соотве</w:t>
      </w:r>
      <w:r>
        <w:rPr>
          <w:sz w:val="28"/>
        </w:rPr>
        <w:t xml:space="preserve">т</w:t>
      </w:r>
      <w:r>
        <w:rPr>
          <w:sz w:val="28"/>
        </w:rPr>
        <w:t xml:space="preserve">ствии с типовой формой.</w:t>
      </w:r>
      <w:r>
        <w:rPr>
          <w:sz w:val="28"/>
        </w:rPr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2.10. Субсидии на иные цели перечисляются Учреждениям в сроки, уст</w:t>
      </w:r>
      <w:r>
        <w:rPr>
          <w:sz w:val="28"/>
        </w:rPr>
        <w:t xml:space="preserve">а</w:t>
      </w:r>
      <w:r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  <w:t xml:space="preserve">в течение года после представления документов, подтверждающих возникновение денежных обязательств.</w:t>
      </w:r>
      <w:r>
        <w:rPr>
          <w:i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>
        <w:rPr>
          <w:sz w:val="28"/>
        </w:rPr>
        <w:t xml:space="preserve">е</w:t>
      </w:r>
      <w:r>
        <w:rPr>
          <w:sz w:val="28"/>
        </w:rPr>
        <w:t xml:space="preserve">та.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2.11. Субсидии на иные цели Учреждениям предоставляются путем пер</w:t>
      </w:r>
      <w:r>
        <w:rPr>
          <w:sz w:val="28"/>
        </w:rPr>
        <w:t xml:space="preserve">е</w:t>
      </w:r>
      <w:r>
        <w:rPr>
          <w:sz w:val="28"/>
        </w:rPr>
        <w:t xml:space="preserve">числения Департаментом денежных средств на отдельные лицевые счета Учр</w:t>
      </w:r>
      <w:r>
        <w:rPr>
          <w:sz w:val="28"/>
        </w:rPr>
        <w:t xml:space="preserve">е</w:t>
      </w:r>
      <w:r>
        <w:rPr>
          <w:sz w:val="28"/>
        </w:rPr>
        <w:t xml:space="preserve">ждений, открытые в департаменте финансов администрации города Перми </w:t>
      </w:r>
      <w:r>
        <w:rPr>
          <w:sz w:val="28"/>
        </w:rPr>
        <w:br/>
        <w:t xml:space="preserve">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2.12. Средства, предоставляемые Учреждениям в виде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ли, расходуются в соответствии с их целевым назначением и не могут быть направлены на другие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2.13. </w:t>
      </w:r>
      <w:r>
        <w:rPr>
          <w:sz w:val="28"/>
        </w:rPr>
        <w:t xml:space="preserve">Результатом предоставления субсидий на иные цели является колич</w:t>
      </w:r>
      <w:r>
        <w:rPr>
          <w:sz w:val="28"/>
        </w:rPr>
        <w:t xml:space="preserve">е</w:t>
      </w:r>
      <w:r>
        <w:rPr>
          <w:sz w:val="28"/>
        </w:rPr>
        <w:t xml:space="preserve">ство объектов, в которых в полном объеме выполнены мероприятия по капитал</w:t>
      </w:r>
      <w:r>
        <w:rPr>
          <w:sz w:val="28"/>
        </w:rPr>
        <w:t xml:space="preserve">ь</w:t>
      </w:r>
      <w:r>
        <w:rPr>
          <w:sz w:val="28"/>
        </w:rPr>
        <w:t xml:space="preserve">ному ремонту, </w:t>
      </w:r>
      <w:r>
        <w:rPr>
          <w:sz w:val="28"/>
          <w:szCs w:val="28"/>
        </w:rPr>
        <w:t xml:space="preserve">включая их оснащение недостающими или нуждающимися </w:t>
      </w:r>
      <w:r>
        <w:rPr>
          <w:sz w:val="28"/>
          <w:szCs w:val="28"/>
        </w:rPr>
        <w:br/>
        <w:t xml:space="preserve">в замене на объектах капитального ремонта средствами обучения и воспитания, требуемых для реализации образовательных программ дошкольного образования</w:t>
      </w:r>
      <w:r>
        <w:rPr>
          <w:sz w:val="28"/>
        </w:rPr>
        <w:t xml:space="preserve">, </w:t>
      </w:r>
      <w:r>
        <w:rPr>
          <w:sz w:val="28"/>
        </w:rPr>
        <w:br/>
        <w:t xml:space="preserve">в соответствии с муниципальной программой «Доступное и качественное образ</w:t>
      </w:r>
      <w:r>
        <w:rPr>
          <w:sz w:val="28"/>
        </w:rPr>
        <w:t xml:space="preserve">о</w:t>
      </w:r>
      <w:r>
        <w:rPr>
          <w:sz w:val="28"/>
        </w:rPr>
        <w:t xml:space="preserve">вание».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результата предоставления субсидий на иные цели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шением устанавливается план мероприятий по достижению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III. Требования к отчетности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Отчеты):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05 числа месяца (за год до 10 числа месяца),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 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и автономным учреждениям, индивидуальным предпринимателям,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 лицам – производителям товаров, работ, услуг, утвержденному</w:t>
      </w:r>
      <w:r>
        <w:rPr>
          <w:sz w:val="28"/>
          <w:szCs w:val="28"/>
        </w:rPr>
        <w:t xml:space="preserve">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 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и дост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верностью отчетных данных возлагается на руководителей Учреждений.</w:t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IV. Порядок осуществления </w:t>
      </w:r>
      <w:r>
        <w:rPr>
          <w:b/>
          <w:sz w:val="28"/>
        </w:rPr>
        <w:t xml:space="preserve">контроля за</w:t>
      </w:r>
      <w:r>
        <w:rPr>
          <w:b/>
          <w:sz w:val="28"/>
        </w:rPr>
        <w:t xml:space="preserve"> соблюдением целей, условий 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порядка предоставления субсидий на иные цели и ответственность 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за их несоблюдение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bCs/>
          <w:sz w:val="28"/>
          <w:szCs w:val="24"/>
        </w:rPr>
        <w:t xml:space="preserve">Департамент проводит мониторинг достижения значений результатов предоставления субсидий на иные цели, определенных Соглашением, и событий, </w:t>
      </w:r>
      <w:r>
        <w:rPr>
          <w:bCs/>
          <w:sz w:val="28"/>
          <w:szCs w:val="24"/>
        </w:rPr>
        <w:t xml:space="preserve">отражающих факт завершения соответствующего мероприятия по получению р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зультата предоставления субсидий на иные цели (контрольная точка), в порядке </w:t>
      </w:r>
      <w:r>
        <w:rPr>
          <w:bCs/>
          <w:sz w:val="28"/>
          <w:szCs w:val="24"/>
        </w:rPr>
        <w:br/>
        <w:t xml:space="preserve">и по формам, которые установлены Порядком проведения мониторинга достиж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r>
        <w:rPr>
          <w:bCs/>
          <w:sz w:val="28"/>
          <w:szCs w:val="24"/>
        </w:rPr>
        <w:t xml:space="preserve">, инд</w:t>
      </w:r>
      <w:r>
        <w:rPr>
          <w:bCs/>
          <w:sz w:val="28"/>
          <w:szCs w:val="24"/>
        </w:rPr>
        <w:t xml:space="preserve">и</w:t>
      </w:r>
      <w:r>
        <w:rPr>
          <w:bCs/>
          <w:sz w:val="28"/>
          <w:szCs w:val="24"/>
        </w:rPr>
        <w:t xml:space="preserve">видуальным предпринимателям, физическим лицам – производителям товаров, работ, услуг, утвержденным приказом Министерства финансов Российской Фед</w:t>
      </w:r>
      <w:r>
        <w:rPr>
          <w:bCs/>
          <w:sz w:val="28"/>
          <w:szCs w:val="24"/>
        </w:rPr>
        <w:t xml:space="preserve">е</w:t>
      </w:r>
      <w:r>
        <w:rPr>
          <w:bCs/>
          <w:sz w:val="28"/>
          <w:szCs w:val="24"/>
        </w:rPr>
        <w:t xml:space="preserve">рации от 27 апреля 2024 г. № 53н.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4.3. Ответственность за нецелевое использование средств субсидий на иные цели, несоблюдение условий их предоставления, установленных настоящим П</w:t>
      </w:r>
      <w:r>
        <w:rPr>
          <w:sz w:val="28"/>
        </w:rPr>
        <w:t xml:space="preserve">о</w:t>
      </w:r>
      <w:r>
        <w:rPr>
          <w:sz w:val="28"/>
        </w:rPr>
        <w:t xml:space="preserve">рядком и (или) Соглашением, несут руководители Учреждений в соответствии </w:t>
      </w:r>
      <w:r>
        <w:rPr>
          <w:sz w:val="28"/>
        </w:rPr>
        <w:br/>
        <w:t xml:space="preserve">с законодательством.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4.4. В случае несоблюдения Учреждениями целей и условий, установле</w:t>
      </w:r>
      <w:r>
        <w:rPr>
          <w:sz w:val="28"/>
        </w:rPr>
        <w:t xml:space="preserve">н</w:t>
      </w:r>
      <w:r>
        <w:rPr>
          <w:sz w:val="28"/>
        </w:rPr>
        <w:t xml:space="preserve">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</w:t>
      </w:r>
      <w:r>
        <w:rPr>
          <w:sz w:val="28"/>
        </w:rPr>
        <w:t xml:space="preserve">ю</w:t>
      </w:r>
      <w:r>
        <w:rPr>
          <w:sz w:val="28"/>
        </w:rPr>
        <w:t xml:space="preserve">щие сроки: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 xml:space="preserve">со дня получения Учреждениями соответствующего требования;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</w:t>
      </w:r>
      <w:r>
        <w:rPr>
          <w:sz w:val="28"/>
        </w:rPr>
        <w:t xml:space="preserve">а</w:t>
      </w:r>
      <w:r>
        <w:rPr>
          <w:sz w:val="28"/>
        </w:rPr>
        <w:t xml:space="preserve">конодательством Российской Федерации.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</w:t>
      </w:r>
      <w:r>
        <w:rPr>
          <w:sz w:val="28"/>
        </w:rPr>
        <w:t xml:space="preserve">недостижения</w:t>
      </w:r>
      <w:r>
        <w:rPr>
          <w:sz w:val="28"/>
        </w:rPr>
        <w:t xml:space="preserve"> результата предоставления субсидий на иные цели, установленного пунктом 2.13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  <w:t xml:space="preserve">со дня выявления указанного </w:t>
      </w:r>
      <w:r>
        <w:rPr>
          <w:sz w:val="28"/>
        </w:rPr>
        <w:t xml:space="preserve">недостижения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 xml:space="preserve">(</w:t>
      </w: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возврата</w:t>
      </w:r>
      <w:r>
        <w:rPr>
          <w:sz w:val="28"/>
        </w:rPr>
        <w:t xml:space="preserve">), рассчитывается по формуле: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rPr>
          <w:sz w:val="28"/>
        </w:rPr>
      </w:pPr>
      <w:r/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sz w:val="28"/>
              </w:rPr>
              <m:rPr>
                <m:nor m:val="on"/>
              </m:rPr>
              <m:t>V</m:t>
            </m:r>
          </m:e>
          <m:sub>
            <m:r>
              <w:rPr>
                <w:sz w:val="28"/>
              </w:rPr>
              <m:rPr>
                <m:nor m:val="on"/>
              </m:rPr>
              <m:t>возврата</m:t>
            </m:r>
          </m:sub>
        </m:sSub>
        <m:r>
          <w:rPr>
            <w:rFonts w:ascii="Cambria Math" w:hAnsi="Cambria Math"/>
            <w:sz w:val="28"/>
          </w:rPr>
          <m:rPr/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rPr/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rPr/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rPr>
                    <m:nor m:val="on"/>
                  </m:rPr>
                  <m:t>Х</m:t>
                </m:r>
              </m:e>
              <m:sub>
                <m:r>
                  <w:rPr>
                    <w:sz w:val="28"/>
                  </w:rPr>
                  <m:rPr>
                    <m:nor m:val="on"/>
                  </m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rPr/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w:rPr>
                <w:sz w:val="28"/>
                <w:lang w:val="en-US"/>
              </w:rPr>
              <m:rPr>
                <m:nor m:val="on"/>
              </m:rPr>
              <m:t>V</m:t>
            </m:r>
          </m:e>
          <m:sub>
            <m:r>
              <w:rPr>
                <w:rFonts w:ascii="Cambria Math" w:hAnsi="Cambria Math"/>
                <w:sz w:val="28"/>
              </w:rPr>
              <m:rPr/>
              <m:t>субсидии</m:t>
            </m:r>
          </m:sub>
        </m:sSub>
      </m:oMath>
      <w:r>
        <w:rPr>
          <w:sz w:val="28"/>
        </w:rPr>
        <w:t xml:space="preserve">, где</w:t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субсидии</w:t>
      </w:r>
      <w:r>
        <w:rPr>
          <w:sz w:val="28"/>
        </w:rPr>
        <w:t xml:space="preserve"> – размер субсидий на иные цели, полученный Учреждением;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факт</w:t>
      </w:r>
      <w:r>
        <w:rPr>
          <w:sz w:val="28"/>
        </w:rPr>
        <w:t xml:space="preserve"> – фактически достигнутое значение результата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на отчетную дату;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план</w:t>
      </w:r>
      <w:r>
        <w:rPr>
          <w:sz w:val="28"/>
        </w:rPr>
        <w:t xml:space="preserve"> – плановый результат предоставления субсидий на иные цели.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4.6. Остатки субсидий на иные цели, предоставленных за счет средств бю</w:t>
      </w:r>
      <w:r>
        <w:rPr>
          <w:sz w:val="28"/>
        </w:rPr>
        <w:t xml:space="preserve">д</w:t>
      </w:r>
      <w:r>
        <w:rPr>
          <w:sz w:val="28"/>
        </w:rPr>
        <w:t xml:space="preserve">жета города Перми по состоянию на 01 января очередного финансового года, </w:t>
      </w:r>
      <w:r>
        <w:rPr>
          <w:sz w:val="28"/>
        </w:rPr>
        <w:br/>
        <w:t xml:space="preserve">не использованные в текущем финансовом году, подлежат перечислению Учр</w:t>
      </w:r>
      <w:r>
        <w:rPr>
          <w:sz w:val="28"/>
        </w:rPr>
        <w:t xml:space="preserve">е</w:t>
      </w:r>
      <w:r>
        <w:rPr>
          <w:sz w:val="28"/>
        </w:rPr>
        <w:t xml:space="preserve">ждениями в доход бюджета города Перми не позднее первых 4 рабочих дней оч</w:t>
      </w:r>
      <w:r>
        <w:rPr>
          <w:sz w:val="28"/>
        </w:rPr>
        <w:t xml:space="preserve">е</w:t>
      </w:r>
      <w:r>
        <w:rPr>
          <w:sz w:val="28"/>
        </w:rPr>
        <w:t xml:space="preserve">редного финансового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</w:t>
      </w:r>
      <w:r>
        <w:rPr>
          <w:sz w:val="28"/>
        </w:rPr>
        <w:t xml:space="preserve">на те</w:t>
      </w:r>
      <w:r>
        <w:rPr>
          <w:sz w:val="28"/>
        </w:rPr>
        <w:t xml:space="preserve"> же цели на основании з</w:t>
      </w:r>
      <w:r>
        <w:rPr>
          <w:sz w:val="28"/>
        </w:rPr>
        <w:t xml:space="preserve">а</w:t>
      </w:r>
      <w:r>
        <w:rPr>
          <w:sz w:val="28"/>
        </w:rPr>
        <w:t xml:space="preserve">просов Учреждений в соответствии с решением Департамента, оформленным приказом начальника Департамента.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о возврате остатков субсидий на иные цели принимается Департ</w:t>
      </w:r>
      <w:r>
        <w:rPr>
          <w:sz w:val="28"/>
        </w:rPr>
        <w:t xml:space="preserve">а</w:t>
      </w:r>
      <w:r>
        <w:rPr>
          <w:sz w:val="28"/>
        </w:rPr>
        <w:t xml:space="preserve">ментом по итогам рассмотрения запросов Учреждений, представленных в Депа</w:t>
      </w:r>
      <w:r>
        <w:rPr>
          <w:sz w:val="28"/>
        </w:rPr>
        <w:t xml:space="preserve">р</w:t>
      </w:r>
      <w:r>
        <w:rPr>
          <w:sz w:val="28"/>
        </w:rPr>
        <w:t xml:space="preserve">тамент не позднее первых 15 рабочих дней текущего финансового года и отраж</w:t>
      </w:r>
      <w:r>
        <w:rPr>
          <w:sz w:val="28"/>
        </w:rPr>
        <w:t xml:space="preserve">а</w:t>
      </w:r>
      <w:r>
        <w:rPr>
          <w:sz w:val="28"/>
        </w:rPr>
        <w:t xml:space="preserve">ющих причины образования неиспользованных остатков и необходимости их и</w:t>
      </w:r>
      <w:r>
        <w:rPr>
          <w:sz w:val="28"/>
        </w:rPr>
        <w:t xml:space="preserve">с</w:t>
      </w:r>
      <w:r>
        <w:rPr>
          <w:sz w:val="28"/>
        </w:rPr>
        <w:t xml:space="preserve">пользования в текущем финансовом году, с приложением документов (копий д</w:t>
      </w:r>
      <w:r>
        <w:rPr>
          <w:sz w:val="28"/>
        </w:rPr>
        <w:t xml:space="preserve">о</w:t>
      </w:r>
      <w:r>
        <w:rPr>
          <w:sz w:val="28"/>
        </w:rPr>
        <w:t xml:space="preserve">кументов), подтверждающих наличие и объем неисполненных обязательств, пр</w:t>
      </w:r>
      <w:r>
        <w:rPr>
          <w:sz w:val="28"/>
        </w:rPr>
        <w:t xml:space="preserve">и</w:t>
      </w:r>
      <w:r>
        <w:rPr>
          <w:sz w:val="28"/>
        </w:rPr>
        <w:t xml:space="preserve">нятых до начала текущего финансового года либо подлежащих</w:t>
      </w:r>
      <w:r>
        <w:rPr>
          <w:sz w:val="28"/>
        </w:rPr>
        <w:t xml:space="preserve"> принятию в тек</w:t>
      </w:r>
      <w:r>
        <w:rPr>
          <w:sz w:val="28"/>
        </w:rPr>
        <w:t xml:space="preserve">у</w:t>
      </w:r>
      <w:r>
        <w:rPr>
          <w:sz w:val="28"/>
        </w:rPr>
        <w:t xml:space="preserve">щем финансовом году.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принимает решение о возврате остатков субсидий на иные ц</w:t>
      </w:r>
      <w:r>
        <w:rPr>
          <w:sz w:val="28"/>
        </w:rPr>
        <w:t xml:space="preserve">е</w:t>
      </w:r>
      <w:r>
        <w:rPr>
          <w:sz w:val="28"/>
        </w:rPr>
        <w:t xml:space="preserve">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и не подл</w:t>
      </w:r>
      <w:r>
        <w:rPr>
          <w:sz w:val="28"/>
        </w:rPr>
        <w:t xml:space="preserve">е</w:t>
      </w:r>
      <w:r>
        <w:rPr>
          <w:sz w:val="28"/>
        </w:rPr>
        <w:t xml:space="preserve">жат возврату Учреждениям.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не пер</w:t>
      </w:r>
      <w:r>
        <w:rPr>
          <w:sz w:val="28"/>
        </w:rPr>
        <w:t xml:space="preserve">е</w:t>
      </w:r>
      <w:r>
        <w:rPr>
          <w:sz w:val="28"/>
        </w:rPr>
        <w:t xml:space="preserve">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</w:t>
      </w:r>
      <w:r>
        <w:rPr>
          <w:sz w:val="28"/>
        </w:rPr>
        <w:t xml:space="preserve"> обеспечения которых являются средства бюджета Пермского края и бюджета Российской Федерации,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</w:t>
      </w:r>
      <w:r>
        <w:rPr>
          <w:sz w:val="28"/>
        </w:rPr>
        <w:t xml:space="preserve"> рабочих дней текущего финансового года.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цели,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ставленных за счет средств бюджета Пермского края и бюджета Российской Ф</w:t>
      </w:r>
      <w:r>
        <w:rPr>
          <w:sz w:val="28"/>
        </w:rPr>
        <w:t xml:space="preserve">е</w:t>
      </w:r>
      <w:r>
        <w:rPr>
          <w:sz w:val="28"/>
        </w:rPr>
        <w:t xml:space="preserve">дерации, не перечислены Учреждениями в бюджет города Перми, то они подл</w:t>
      </w:r>
      <w:r>
        <w:rPr>
          <w:sz w:val="28"/>
        </w:rPr>
        <w:t xml:space="preserve">е</w:t>
      </w:r>
      <w:r>
        <w:rPr>
          <w:sz w:val="28"/>
        </w:rPr>
        <w:t xml:space="preserve">жат взысканию в установленном порядке.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Средства бюджета Пермского края и бюджета Российской Федерации, обр</w:t>
      </w:r>
      <w:r>
        <w:rPr>
          <w:sz w:val="28"/>
        </w:rPr>
        <w:t xml:space="preserve">а</w:t>
      </w:r>
      <w:r>
        <w:rPr>
          <w:sz w:val="28"/>
        </w:rPr>
        <w:t xml:space="preserve">зовавшиеся в результате экономии при заключении контрактов (договоров, с</w:t>
      </w:r>
      <w:r>
        <w:rPr>
          <w:sz w:val="28"/>
        </w:rPr>
        <w:t xml:space="preserve">о</w:t>
      </w:r>
      <w:r>
        <w:rPr>
          <w:sz w:val="28"/>
        </w:rPr>
        <w:t xml:space="preserve">глашений), направленных на реализацию мероприятий, указанных в пункте 1.3 настоящего Порядка, и уточнения проектной документации или сметной док</w:t>
      </w:r>
      <w:r>
        <w:rPr>
          <w:sz w:val="28"/>
        </w:rPr>
        <w:t xml:space="preserve">у</w:t>
      </w:r>
      <w:r>
        <w:rPr>
          <w:sz w:val="28"/>
        </w:rPr>
        <w:t xml:space="preserve">ментации, возвращаются в бюджет в установленном порядке в течение 10 рабочих дней со дня образования экономии.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>
        <w:rPr>
          <w:sz w:val="28"/>
        </w:rPr>
        <w:t xml:space="preserve">В случае поступления средств от возврата ранее произведенных Учр</w:t>
      </w:r>
      <w:r>
        <w:rPr>
          <w:sz w:val="28"/>
        </w:rPr>
        <w:t xml:space="preserve">е</w:t>
      </w:r>
      <w:r>
        <w:rPr>
          <w:sz w:val="28"/>
        </w:rPr>
        <w:t xml:space="preserve">ждением выплат, источником финансового обеспечения которых являются субс</w:t>
      </w:r>
      <w:r>
        <w:rPr>
          <w:sz w:val="28"/>
        </w:rPr>
        <w:t xml:space="preserve">и</w:t>
      </w:r>
      <w:r>
        <w:rPr>
          <w:sz w:val="28"/>
        </w:rPr>
        <w:t xml:space="preserve"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</w:t>
      </w:r>
      <w:r>
        <w:rPr>
          <w:sz w:val="28"/>
        </w:rPr>
        <w:t xml:space="preserve">финансовом году, с приложением документов (копий документов), подтвержд</w:t>
      </w:r>
      <w:r>
        <w:rPr>
          <w:sz w:val="28"/>
        </w:rPr>
        <w:t xml:space="preserve">а</w:t>
      </w:r>
      <w:r>
        <w:rPr>
          <w:sz w:val="28"/>
        </w:rPr>
        <w:t xml:space="preserve">ющих наличие и объем неисполненных обязательств, принятых</w:t>
      </w:r>
      <w:r>
        <w:rPr>
          <w:sz w:val="28"/>
        </w:rPr>
        <w:t xml:space="preserve"> до начала тек</w:t>
      </w:r>
      <w:r>
        <w:rPr>
          <w:sz w:val="28"/>
        </w:rPr>
        <w:t xml:space="preserve">у</w:t>
      </w:r>
      <w:r>
        <w:rPr>
          <w:sz w:val="28"/>
        </w:rPr>
        <w:t xml:space="preserve">щего финансового года либо подлежащих принятию в текущем финансовом году.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</w:t>
      </w:r>
      <w:r>
        <w:rPr>
          <w:sz w:val="28"/>
        </w:rPr>
        <w:t xml:space="preserve">р</w:t>
      </w:r>
      <w:r>
        <w:rPr>
          <w:sz w:val="28"/>
        </w:rPr>
        <w:t xml:space="preserve"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>
        <w:rPr>
          <w:sz w:val="28"/>
        </w:rPr>
        <w:t xml:space="preserve">н</w:t>
      </w:r>
      <w:r>
        <w:rPr>
          <w:sz w:val="28"/>
        </w:rPr>
        <w:t xml:space="preserve">совом году указанных средств.</w:t>
      </w:r>
      <w:r>
        <w:rPr>
          <w:sz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45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  <w:t xml:space="preserve">и автономным учреждениям </w:t>
      </w:r>
      <w:r>
        <w:rPr>
          <w:sz w:val="28"/>
          <w:szCs w:val="28"/>
        </w:rPr>
        <w:br/>
        <w:t xml:space="preserve">на капитальный ремонт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оснащение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организаций, осуществляющих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 </w:t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дошкольного образования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капитальный ремонт и оснащение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организаций, осуществляющих </w:t>
      </w:r>
      <w:r>
        <w:rPr>
          <w:b/>
          <w:sz w:val="28"/>
          <w:szCs w:val="28"/>
        </w:rPr>
        <w:t xml:space="preserve">образовательную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деятельность по образовательным программам </w:t>
      </w:r>
      <w:r>
        <w:rPr>
          <w:b/>
          <w:sz w:val="28"/>
          <w:szCs w:val="28"/>
        </w:rPr>
        <w:t xml:space="preserve">дошкольного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образования</w:t>
      </w:r>
      <w: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«__» ___________ 20____ г.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(наименование учреждения)</w:t>
      </w:r>
      <w:r>
        <w:rPr>
          <w:sz w:val="24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6078"/>
        <w:gridCol w:w="3574"/>
      </w:tblGrid>
      <w:tr>
        <w:tblPrEx/>
        <w:trPr>
          <w:cantSplit/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8" w:type="dxa"/>
            <w:textDirection w:val="lrTb"/>
            <w:noWrap w:val="false"/>
          </w:tcPr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</w:p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(перечень работ, перечень средств обучения </w:t>
            </w:r>
            <w:r>
              <w:rPr>
                <w:sz w:val="28"/>
                <w:szCs w:val="28"/>
              </w:rPr>
            </w:r>
          </w:p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воспитания)*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4" w:type="dxa"/>
            <w:textDirection w:val="lrTb"/>
            <w:noWrap w:val="false"/>
          </w:tcPr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</w:t>
            </w:r>
            <w:r>
              <w:rPr>
                <w:sz w:val="28"/>
                <w:szCs w:val="28"/>
              </w:rPr>
            </w:r>
          </w:p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иные цели, </w:t>
            </w:r>
            <w:r>
              <w:rPr>
                <w:sz w:val="28"/>
                <w:szCs w:val="28"/>
              </w:rPr>
            </w:r>
          </w:p>
          <w:p>
            <w:pPr>
              <w:pStyle w:val="916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8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8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7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>
        <w:tblPrEx/>
        <w:trPr/>
        <w:tc>
          <w:tcPr>
            <w:tcW w:w="41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 ______ г.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(дата заполнения)</w:t>
            </w:r>
            <w:r>
              <w:rPr>
                <w:sz w:val="24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(подпись, расшифровка подписи) </w:t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В соответствии с пунктом 2.5 Порядка</w:t>
      </w:r>
      <w:r>
        <w:t xml:space="preserve"> </w:t>
      </w:r>
      <w:r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на капитальный ремонт </w:t>
      </w:r>
      <w:r>
        <w:rPr>
          <w:sz w:val="24"/>
          <w:szCs w:val="24"/>
        </w:rPr>
        <w:br/>
        <w:t xml:space="preserve">и оснащение образовательных организаций, осуществляющих образовательную деятельность по образовательным программам дошкольного образования.</w:t>
      </w:r>
      <w:r>
        <w:rPr>
          <w:sz w:val="24"/>
          <w:szCs w:val="24"/>
        </w:rPr>
      </w:r>
    </w:p>
    <w:p>
      <w:pPr>
        <w:ind w:left="10206"/>
        <w:spacing w:line="240" w:lineRule="exact"/>
        <w:rPr>
          <w:sz w:val="22"/>
          <w:szCs w:val="22"/>
        </w:rPr>
        <w:outlineLvl w:val="0"/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898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7"/>
    <w:uiPriority w:val="10"/>
    <w:rPr>
      <w:sz w:val="48"/>
      <w:szCs w:val="48"/>
    </w:rPr>
  </w:style>
  <w:style w:type="character" w:styleId="728" w:customStyle="1">
    <w:name w:val="Subtitle Char"/>
    <w:basedOn w:val="717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07"/>
    <w:uiPriority w:val="34"/>
    <w:qFormat/>
    <w:pPr>
      <w:contextualSpacing/>
      <w:ind w:left="720"/>
    </w:pPr>
  </w:style>
  <w:style w:type="paragraph" w:styleId="743">
    <w:name w:val="No Spacing"/>
    <w:uiPriority w:val="1"/>
    <w:qFormat/>
  </w:style>
  <w:style w:type="paragraph" w:styleId="744">
    <w:name w:val="Title"/>
    <w:basedOn w:val="707"/>
    <w:next w:val="707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basedOn w:val="717"/>
    <w:link w:val="744"/>
    <w:uiPriority w:val="10"/>
    <w:rPr>
      <w:sz w:val="48"/>
      <w:szCs w:val="48"/>
    </w:rPr>
  </w:style>
  <w:style w:type="paragraph" w:styleId="746">
    <w:name w:val="Subtitle"/>
    <w:basedOn w:val="707"/>
    <w:next w:val="707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basedOn w:val="717"/>
    <w:link w:val="746"/>
    <w:uiPriority w:val="11"/>
    <w:rPr>
      <w:sz w:val="24"/>
      <w:szCs w:val="24"/>
    </w:rPr>
  </w:style>
  <w:style w:type="paragraph" w:styleId="748">
    <w:name w:val="Quote"/>
    <w:basedOn w:val="707"/>
    <w:next w:val="707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07"/>
    <w:next w:val="707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17"/>
    <w:uiPriority w:val="99"/>
  </w:style>
  <w:style w:type="character" w:styleId="753" w:customStyle="1">
    <w:name w:val="Footer Char"/>
    <w:basedOn w:val="717"/>
    <w:uiPriority w:val="99"/>
  </w:style>
  <w:style w:type="character" w:styleId="754" w:customStyle="1">
    <w:name w:val="Caption Char"/>
    <w:uiPriority w:val="99"/>
  </w:style>
  <w:style w:type="table" w:styleId="755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 w:customStyle="1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 w:customStyle="1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 w:customStyle="1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0">
    <w:name w:val="footnote text"/>
    <w:basedOn w:val="707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17"/>
    <w:uiPriority w:val="99"/>
    <w:unhideWhenUsed/>
    <w:rPr>
      <w:vertAlign w:val="superscript"/>
    </w:rPr>
  </w:style>
  <w:style w:type="paragraph" w:styleId="883">
    <w:name w:val="endnote text"/>
    <w:basedOn w:val="707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7"/>
    <w:uiPriority w:val="99"/>
    <w:semiHidden/>
    <w:unhideWhenUsed/>
    <w:rPr>
      <w:vertAlign w:val="superscript"/>
    </w:rPr>
  </w:style>
  <w:style w:type="paragraph" w:styleId="886">
    <w:name w:val="toc 1"/>
    <w:basedOn w:val="707"/>
    <w:next w:val="707"/>
    <w:uiPriority w:val="39"/>
    <w:unhideWhenUsed/>
    <w:pPr>
      <w:spacing w:after="57"/>
    </w:pPr>
  </w:style>
  <w:style w:type="paragraph" w:styleId="887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8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9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0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1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2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3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4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7"/>
    <w:next w:val="707"/>
    <w:uiPriority w:val="99"/>
    <w:unhideWhenUsed/>
  </w:style>
  <w:style w:type="character" w:styleId="897" w:customStyle="1">
    <w:name w:val="Заголовок 1 Знак"/>
    <w:link w:val="708"/>
    <w:rPr>
      <w:sz w:val="24"/>
    </w:rPr>
  </w:style>
  <w:style w:type="character" w:styleId="898" w:customStyle="1">
    <w:name w:val="Заголовок 2 Знак"/>
    <w:link w:val="709"/>
    <w:rPr>
      <w:sz w:val="24"/>
    </w:rPr>
  </w:style>
  <w:style w:type="paragraph" w:styleId="899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707"/>
    <w:link w:val="901"/>
    <w:pPr>
      <w:ind w:right="3117"/>
    </w:pPr>
    <w:rPr>
      <w:rFonts w:ascii="Courier New" w:hAnsi="Courier New"/>
      <w:sz w:val="26"/>
    </w:rPr>
  </w:style>
  <w:style w:type="character" w:styleId="901" w:customStyle="1">
    <w:name w:val="Основной текст Знак"/>
    <w:link w:val="900"/>
    <w:rPr>
      <w:rFonts w:ascii="Courier New" w:hAnsi="Courier New"/>
      <w:sz w:val="26"/>
    </w:rPr>
  </w:style>
  <w:style w:type="paragraph" w:styleId="902">
    <w:name w:val="Body Text Indent"/>
    <w:basedOn w:val="707"/>
    <w:link w:val="903"/>
    <w:pPr>
      <w:ind w:right="-1"/>
      <w:jc w:val="both"/>
    </w:pPr>
    <w:rPr>
      <w:sz w:val="26"/>
    </w:rPr>
  </w:style>
  <w:style w:type="character" w:styleId="903" w:customStyle="1">
    <w:name w:val="Основной текст с отступом Знак"/>
    <w:link w:val="902"/>
    <w:rPr>
      <w:sz w:val="26"/>
    </w:rPr>
  </w:style>
  <w:style w:type="paragraph" w:styleId="904">
    <w:name w:val="Footer"/>
    <w:basedOn w:val="707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717"/>
    <w:link w:val="904"/>
    <w:uiPriority w:val="99"/>
  </w:style>
  <w:style w:type="character" w:styleId="906">
    <w:name w:val="page number"/>
    <w:basedOn w:val="717"/>
  </w:style>
  <w:style w:type="paragraph" w:styleId="907">
    <w:name w:val="Header"/>
    <w:basedOn w:val="707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Верхний колонтитул Знак"/>
    <w:link w:val="907"/>
    <w:uiPriority w:val="99"/>
  </w:style>
  <w:style w:type="paragraph" w:styleId="909">
    <w:name w:val="Balloon Text"/>
    <w:basedOn w:val="707"/>
    <w:link w:val="910"/>
    <w:rPr>
      <w:rFonts w:ascii="Segoe UI" w:hAnsi="Segoe UI"/>
      <w:sz w:val="18"/>
      <w:szCs w:val="18"/>
    </w:rPr>
  </w:style>
  <w:style w:type="character" w:styleId="910" w:customStyle="1">
    <w:name w:val="Текст выноски Знак"/>
    <w:link w:val="909"/>
    <w:rPr>
      <w:rFonts w:ascii="Segoe UI" w:hAnsi="Segoe UI" w:cs="Segoe UI"/>
      <w:sz w:val="18"/>
      <w:szCs w:val="18"/>
    </w:rPr>
  </w:style>
  <w:style w:type="paragraph" w:styleId="911" w:customStyle="1">
    <w:name w:val="Форма"/>
    <w:rPr>
      <w:sz w:val="28"/>
      <w:szCs w:val="28"/>
    </w:rPr>
  </w:style>
  <w:style w:type="paragraph" w:styleId="91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3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4">
    <w:name w:val="Hyperlink"/>
    <w:uiPriority w:val="99"/>
    <w:unhideWhenUsed/>
    <w:rPr>
      <w:color w:val="0000ff"/>
      <w:u w:val="single"/>
    </w:rPr>
  </w:style>
  <w:style w:type="table" w:styleId="915">
    <w:name w:val="Table Grid"/>
    <w:basedOn w:val="71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24215-20A5-46E1-A1DE-02963890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22</cp:revision>
  <dcterms:created xsi:type="dcterms:W3CDTF">2025-03-20T12:48:00Z</dcterms:created>
  <dcterms:modified xsi:type="dcterms:W3CDTF">2025-04-14T06:36:05Z</dcterms:modified>
</cp:coreProperties>
</file>