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15.04.2025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257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15.04.2025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257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7692095</wp:posOffset>
                </wp:positionH>
                <wp:positionV relativeFrom="paragraph">
                  <wp:posOffset>47595</wp:posOffset>
                </wp:positionV>
                <wp:extent cx="2957487" cy="4325774"/>
                <wp:effectExtent l="0" t="0" r="0" b="0"/>
                <wp:wrapNone/>
                <wp:docPr id="4" name="_x0000_s2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2957486" cy="4325773"/>
                          <a:chOff x="0" y="0"/>
                          <a:chExt cx="2957486" cy="432577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1968756" y="0"/>
                            <a:ext cx="988729" cy="35828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both"/>
                                <w:rPr>
                                  <w:b/>
                                  <w:bCs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0" y="4133261"/>
                            <a:ext cx="241613" cy="18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736428" y="4133261"/>
                            <a:ext cx="170797" cy="192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0000" style="position:absolute;z-index:251658242;o:allowoverlap:true;o:allowincell:true;mso-position-horizontal-relative:text;margin-left:605.68pt;mso-position-horizontal:absolute;mso-position-vertical-relative:text;margin-top:3.75pt;mso-position-vertical:absolute;width:232.87pt;height:340.61pt;mso-wrap-distance-left:9.00pt;mso-wrap-distance-top:0.00pt;mso-wrap-distance-right:9.00pt;mso-wrap-distance-bottom:0.00pt;" coordorigin="0,0" coordsize="29574,43257">
                <v:shape id="shape 7" o:spid="_x0000_s7" o:spt="202" type="#_x0000_t202" style="position:absolute;left:19687;top:0;width:9887;height:35828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both"/>
                          <w:rPr>
                            <w:b/>
                            <w:bCs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32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32"/>
                            <w:szCs w:val="28"/>
                          </w:rPr>
                        </w:r>
                      </w:p>
                      <w:p>
                        <w:pPr>
                          <w:pStyle w:val="893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</w:r>
                        <w:r>
                          <w:rPr>
                            <w:b/>
                            <w:sz w:val="32"/>
                          </w:rPr>
                        </w:r>
                        <w:r>
                          <w:rPr>
                            <w:b/>
                            <w:sz w:val="32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</w:pPr>
                        <w:r/>
                        <w:r/>
                      </w:p>
                    </w:txbxContent>
                  </v:textbox>
                </v:shape>
                <v:shape id="shape 8" o:spid="_x0000_s8" o:spt="202" type="#_x0000_t202" style="position:absolute;left:0;top:41332;width:2416;height:1849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9" o:spid="_x0000_s9" o:spt="202" type="#_x0000_t202" style="position:absolute;left:7364;top:41332;width:1707;height:1925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color w:val="000000"/>
          <w:sz w:val="28"/>
          <w:szCs w:val="28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left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О внесении изменени</w:t>
      </w:r>
      <w:r>
        <w:rPr>
          <w:b/>
          <w:bCs/>
          <w:sz w:val="28"/>
          <w:szCs w:val="28"/>
        </w:rPr>
        <w:t xml:space="preserve">й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Регламент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0"/>
        <w:jc w:val="left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осуществления мероприятий,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0"/>
        <w:jc w:val="left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направленных на соблюдение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0"/>
        <w:jc w:val="left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гражданином, замещавшим должность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0"/>
        <w:jc w:val="left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муниципальной службы, ограничений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0"/>
        <w:jc w:val="left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на замещение на условиях трудового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0"/>
        <w:jc w:val="left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договора должности и (или) на выполнение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0"/>
        <w:jc w:val="left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работ (оказание услуг) на условиях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0"/>
        <w:jc w:val="left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гражданско-п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равового договора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0"/>
        <w:jc w:val="left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 организации, если отдельные функции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0"/>
        <w:jc w:val="left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муниципального управления данной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0"/>
        <w:jc w:val="left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организацией входили в должностные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0"/>
        <w:jc w:val="left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(служебные) обязанности муниципального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0"/>
        <w:jc w:val="left"/>
        <w:spacing w:line="238" w:lineRule="exact"/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служащего</w:t>
      </w:r>
      <w:r>
        <w:rPr>
          <w:b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утвержденный </w:t>
      </w:r>
      <w:r>
        <w:rPr>
          <w:b/>
          <w:bCs/>
          <w:sz w:val="28"/>
          <w:szCs w:val="28"/>
        </w:rPr>
        <w:t xml:space="preserve">постановление</w:t>
      </w:r>
      <w:r>
        <w:rPr>
          <w:b/>
          <w:bCs/>
          <w:sz w:val="28"/>
          <w:szCs w:val="28"/>
        </w:rPr>
        <w:t xml:space="preserve">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от 20.03.2017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0"/>
        <w:jc w:val="left"/>
        <w:spacing w:line="238" w:lineRule="exact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200</w:t>
      </w:r>
      <w:r>
        <w:t xml:space="preserve"> </w:t>
      </w:r>
      <w: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2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соответствии с Уставом города Перми, в </w:t>
      </w:r>
      <w:r>
        <w:rPr>
          <w:sz w:val="28"/>
          <w:szCs w:val="28"/>
        </w:rPr>
        <w:t xml:space="preserve">целях актуализации нормативных правовых актов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7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изменения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Регламент осуществления мероприятий, направленных на соблюдение гражданином, замещавшим должность муниципальной службы, ограничений на замещение на условиях трудового договора должности </w:t>
        <w:br/>
        <w:t xml:space="preserve">и (или) на выполнение работ (оказание услуг) на условиях гражданско-п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равового договора в организации, если отдельные функции муниципального управления данной организацией входили в должностные (служебные) обязанности муниципального служащего</w:t>
      </w:r>
      <w:r>
        <w:rPr>
          <w:b w:val="0"/>
          <w:bCs w:val="0"/>
          <w:sz w:val="28"/>
          <w:szCs w:val="28"/>
        </w:rPr>
        <w:t xml:space="preserve">,</w:t>
      </w:r>
      <w:r>
        <w:rPr>
          <w:b w:val="0"/>
          <w:bCs w:val="0"/>
          <w:sz w:val="28"/>
          <w:szCs w:val="28"/>
        </w:rPr>
        <w:t xml:space="preserve"> утвержденный </w:t>
      </w:r>
      <w:r>
        <w:rPr>
          <w:b w:val="0"/>
          <w:bCs w:val="0"/>
          <w:sz w:val="28"/>
          <w:szCs w:val="28"/>
        </w:rPr>
        <w:t xml:space="preserve">постановление</w:t>
      </w:r>
      <w:r>
        <w:rPr>
          <w:b w:val="0"/>
          <w:bCs w:val="0"/>
          <w:sz w:val="28"/>
          <w:szCs w:val="28"/>
        </w:rPr>
        <w:t xml:space="preserve">м</w:t>
      </w:r>
      <w:r>
        <w:rPr>
          <w:b w:val="0"/>
          <w:bCs w:val="0"/>
          <w:sz w:val="28"/>
          <w:szCs w:val="28"/>
        </w:rPr>
        <w:t xml:space="preserve"> администрации города Перми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от 20 марта 2017 г. №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200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ред. от 22.02.2018 № 104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от 24.08.2020 </w:t>
      </w:r>
      <w:r>
        <w:rPr>
          <w:sz w:val="28"/>
        </w:rPr>
        <w:t xml:space="preserve">№</w:t>
      </w:r>
      <w:r>
        <w:rPr>
          <w:sz w:val="28"/>
        </w:rPr>
        <w:t xml:space="preserve"> 737</w:t>
      </w:r>
      <w:r>
        <w:rPr>
          <w:sz w:val="28"/>
        </w:rPr>
        <w:t xml:space="preserve">)</w:t>
      </w:r>
      <w:r>
        <w:rPr>
          <w:sz w:val="28"/>
          <w:szCs w:val="28"/>
        </w:rPr>
        <w:t xml:space="preserve">, заменив в пункте 3.7 слова «прокуратуру города Перми» словами «прокуратуру Пермского края».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 Контроль за исполнением настоящего постановления возложить </w:t>
        <w:br/>
        <w:t xml:space="preserve">на руководителя аппарата администрации города Перми </w:t>
      </w:r>
      <w:r>
        <w:rPr>
          <w:color w:val="000000"/>
          <w:sz w:val="28"/>
          <w:szCs w:val="28"/>
        </w:rPr>
        <w:t xml:space="preserve">Молоковских А.В.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82"/>
        <w:ind w:firstLine="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0" w:type="dxa"/>
            <w:vAlign w:val="top"/>
            <w:textDirection w:val="lrTb"/>
            <w:noWrap w:val="false"/>
          </w:tcPr>
          <w:p>
            <w:pPr>
              <w:pStyle w:val="918"/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Глава города Перми</w:t>
            </w:r>
            <w:r>
              <w:rPr>
                <w:szCs w:val="24"/>
                <w:lang w:eastAsia="en-US"/>
              </w:rPr>
            </w:r>
            <w:r>
              <w:rPr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918"/>
              <w:jc w:val="right"/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Э.О. Соснин</w:t>
            </w:r>
            <w:r>
              <w:rPr>
                <w:szCs w:val="24"/>
                <w:lang w:eastAsia="en-US"/>
              </w:rPr>
            </w:r>
            <w:r>
              <w:rPr>
                <w:szCs w:val="24"/>
                <w:lang w:eastAsia="en-US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paragraph" w:styleId="977">
    <w:name w:val="Обычный (веб)"/>
    <w:basedOn w:val="882"/>
    <w:next w:val="977"/>
    <w:link w:val="88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78" w:default="1">
    <w:name w:val="Default Paragraph Font"/>
    <w:uiPriority w:val="1"/>
    <w:semiHidden/>
    <w:unhideWhenUsed/>
  </w:style>
  <w:style w:type="numbering" w:styleId="979" w:default="1">
    <w:name w:val="No List"/>
    <w:uiPriority w:val="99"/>
    <w:semiHidden/>
    <w:unhideWhenUsed/>
  </w:style>
  <w:style w:type="table" w:styleId="9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65</cp:revision>
  <dcterms:created xsi:type="dcterms:W3CDTF">2016-08-25T12:19:00Z</dcterms:created>
  <dcterms:modified xsi:type="dcterms:W3CDTF">2025-04-15T11:54:07Z</dcterms:modified>
  <cp:version>983040</cp:version>
</cp:coreProperties>
</file>