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3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267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3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3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3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3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267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3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3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1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 xml:space="preserve">Местны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\l Par20 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 xml:space="preserve">норматив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 градостроительного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проектирования в городе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утвержденные </w:t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29.12.2022 № 1408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tabs>
          <w:tab w:val="left" w:pos="147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consultantplus://offline/ref=988DC14737E11ABF5BE72CDCF6E72B72E846348ED7298E7AFFB41017ABC9AB4560F0F095B3DC1E9EBB2F62199F367603E2ACBF9F77mDVDL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</w:t>
      </w:r>
      <w:r>
        <w:rPr>
          <w:sz w:val="28"/>
          <w:szCs w:val="28"/>
        </w:rPr>
        <w:t xml:space="preserve">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</w:t>
        <w:br/>
        <w:t xml:space="preserve">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  <w:br/>
        <w:t xml:space="preserve">Пермского края от 14 сентября </w:t>
      </w:r>
      <w:r>
        <w:rPr>
          <w:sz w:val="28"/>
          <w:szCs w:val="28"/>
        </w:rPr>
        <w:t xml:space="preserve">2011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805</w:t>
      </w:r>
      <w:r>
        <w:rPr>
          <w:sz w:val="28"/>
          <w:szCs w:val="28"/>
        </w:rPr>
        <w:t xml:space="preserve">-ПК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градостроительной </w:t>
        <w:br/>
        <w:t xml:space="preserve">деятельности в Пермском 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М</w:t>
      </w:r>
      <w:r>
        <w:rPr>
          <w:sz w:val="28"/>
          <w:szCs w:val="28"/>
        </w:rPr>
        <w:t xml:space="preserve">естные нормативы градостроительного проектир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highlight w:val="white"/>
        </w:rPr>
        <w:t xml:space="preserve"> городе Перми</w:t>
      </w:r>
      <w:r>
        <w:rPr>
          <w:sz w:val="28"/>
          <w:szCs w:val="28"/>
          <w:highlight w:val="white"/>
        </w:rPr>
        <w:t xml:space="preserve">, утвержденные</w:t>
      </w:r>
      <w:r>
        <w:rPr>
          <w:sz w:val="28"/>
          <w:szCs w:val="28"/>
          <w:highlight w:val="white"/>
        </w:rPr>
        <w:t xml:space="preserve"> постановлением </w:t>
      </w: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города Перми </w:t>
        <w:br/>
        <w:t xml:space="preserve">от 29</w:t>
      </w:r>
      <w:r>
        <w:rPr>
          <w:sz w:val="28"/>
          <w:szCs w:val="28"/>
          <w:highlight w:val="white"/>
        </w:rPr>
        <w:t xml:space="preserve"> декабря </w:t>
      </w:r>
      <w:r>
        <w:rPr>
          <w:sz w:val="28"/>
          <w:szCs w:val="28"/>
          <w:highlight w:val="white"/>
        </w:rPr>
        <w:t xml:space="preserve">2022</w:t>
      </w:r>
      <w:r>
        <w:rPr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№ 1408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(в ред. от 10.10.2023 № 957), следующие изменения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white"/>
        </w:rPr>
        <w:t xml:space="preserve">разделе 1 части 1</w:t>
      </w:r>
      <w:r>
        <w:rPr>
          <w:sz w:val="28"/>
          <w:szCs w:val="28"/>
          <w:highlight w:val="none"/>
        </w:rPr>
        <w:t xml:space="preserve"> в таблице 1 строку: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4894" w:type="pct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4"/>
        <w:gridCol w:w="6188"/>
      </w:tblGrid>
      <w:tr>
        <w:tblPrEx/>
        <w:trPr/>
        <w:tc>
          <w:tcPr>
            <w:tcW w:w="3734" w:type="dxa"/>
            <w:vAlign w:val="top"/>
            <w:textDirection w:val="lrTb"/>
            <w:noWrap w:val="false"/>
          </w:tcPr>
          <w:p>
            <w:pPr>
              <w:pStyle w:val="1024"/>
              <w:ind w:left="0"/>
              <w:jc w:val="center"/>
              <w:spacing w:after="0" w:line="240" w:lineRule="auto"/>
              <w:tabs>
                <w:tab w:val="left" w:pos="596" w:leader="none"/>
                <w:tab w:val="left" w:pos="1418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6188" w:type="dxa"/>
            <w:vAlign w:val="top"/>
            <w:textDirection w:val="lrTb"/>
            <w:noWrap w:val="false"/>
          </w:tcPr>
          <w:p>
            <w:pPr>
              <w:pStyle w:val="931"/>
              <w:tabs>
                <w:tab w:val="left" w:pos="1418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48,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59,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69,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74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</w:t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894" w:type="pct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4"/>
        <w:gridCol w:w="6188"/>
      </w:tblGrid>
      <w:tr>
        <w:tblPrEx/>
        <w:trPr>
          <w:trHeight w:val="209"/>
        </w:trPr>
        <w:tc>
          <w:tcPr>
            <w:tcW w:w="3734" w:type="dxa"/>
            <w:vAlign w:val="top"/>
            <w:textDirection w:val="lrTb"/>
            <w:noWrap w:val="false"/>
          </w:tcPr>
          <w:p>
            <w:pPr>
              <w:pStyle w:val="1024"/>
              <w:ind w:left="0"/>
              <w:jc w:val="center"/>
              <w:spacing w:after="0" w:line="240" w:lineRule="auto"/>
              <w:tabs>
                <w:tab w:val="left" w:pos="596" w:leader="none"/>
                <w:tab w:val="left" w:pos="1418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6188" w:type="dxa"/>
            <w:vAlign w:val="top"/>
            <w:textDirection w:val="lrTb"/>
            <w:noWrap w:val="false"/>
          </w:tcPr>
          <w:p>
            <w:pPr>
              <w:pStyle w:val="931"/>
              <w:tabs>
                <w:tab w:val="left" w:pos="1418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48,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59,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69,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74, ПР-84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разделе 2 части 1 таблицу 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87"/>
        <w:tblW w:w="0" w:type="auto"/>
        <w:tblInd w:w="148" w:type="dxa"/>
        <w:tblLayout w:type="fixed"/>
        <w:tblLook w:val="04A0" w:firstRow="1" w:lastRow="0" w:firstColumn="1" w:lastColumn="0" w:noHBand="0" w:noVBand="1"/>
      </w:tblPr>
      <w:tblGrid>
        <w:gridCol w:w="4137"/>
        <w:gridCol w:w="3118"/>
        <w:gridCol w:w="26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вида объектов</w:t>
              <w:br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Ед. изм.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Значение 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Общедоступная библиотека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10 тыс. чел.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Детская библиотека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7 тыс.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Точка доступа к полнотекстовым информационным ресурсам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население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3.2 части 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 Перечень законодательных актов, нормативных правовых актов, методических рекомендаций, используемых при определении областей нормирования и значений предельных показателей обеспеченности и доступности объектов местного значения: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Градостроительный кодекс Российской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24 июня 1998 г. № 89-ФЗ «Об отходах производства и потребления»;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06 октября 2003 г. № 131-ФЗ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Федерации»;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12 ноября 2016 г. № 1156 «Об обращении с твердыми коммунальными отходами и внесении изменения в постановление Правительства Российской Федерации от 25 августа </w:t>
        <w:br/>
        <w:t xml:space="preserve">2008 г. № 641»;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23 марта 2019 г. </w:t>
        <w:br/>
        <w:t xml:space="preserve">№ 510-р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Методики формирования индекса качества городской среды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ноября 2021 г. </w:t>
        <w:br/>
        <w:t xml:space="preserve">№ 3363-р «О Транспортной стратегии Российской Федерации до 2030 года с прогно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зом на период до 2035 года»;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Правительства Российской Федерации от 28 декабря 2024 г. № 4146-р «О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утверждении Стра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тегии пространственного развития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период до 2030 года с прогнозом до 2036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транспорта Российской Федерации от 22 ноября 2022 г. № АК-292-р «Об утверждении методических рекомендаций для субъектов Российской Федерации по определению необходимого количества парковок (парковочных мест) на территории муниципальных образо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ваний с учетом взаимосвязи с параметрами работы пассажирского транспорта общего пользования»;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Министерства культуры Российской Федерации от 23 октября 2023 г. 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Р-2879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аций культуры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</w:t>
        <w:br/>
        <w:t xml:space="preserve">от 15 февраля 2021 г. № 71 «Об утверждении Методических рекомендаций </w:t>
        <w:br/>
        <w:t xml:space="preserve">по подготовке нормативов градостроительного проектирования»;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спорта Российской Федерации от 19 августа 2021 г. </w:t>
        <w:br/>
        <w:t xml:space="preserve">№ 649 «О рекомендованных нормативах и нормах обеспеченности населения объектами спортивной инфраструктуры»;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Федерального аген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тства по строительству и жилищно-коммунальному хозяйству </w:t>
      </w:r>
      <w:r>
        <w:rPr>
          <w:color w:val="000000" w:themeColor="text1"/>
          <w:sz w:val="28"/>
          <w:szCs w:val="28"/>
          <w:highlight w:val="none"/>
        </w:rPr>
        <w:t xml:space="preserve">от 27 декабря 2012 г. № 122/ГС «</w:t>
      </w:r>
      <w:r>
        <w:rPr>
          <w:color w:val="000000" w:themeColor="text1"/>
          <w:sz w:val="28"/>
          <w:szCs w:val="28"/>
          <w:highlight w:val="none"/>
        </w:rPr>
        <w:t xml:space="preserve">СП 140.13330.2012. Свод правил. Городская среда. Правила проектирования для маломобильных групп населения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Министерства строительства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жилищно-коммунального хозяйства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17 августа 2016 г. № 572/пр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color w:val="000000" w:themeColor="text1"/>
          <w:sz w:val="28"/>
          <w:szCs w:val="28"/>
          <w:highlight w:val="none"/>
        </w:rPr>
        <w:t xml:space="preserve">СП 251.1325800.2016. Свод правил. Здания общеобразовательных организаций. Правила проектирования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Министерства строительства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жилищно-коммунального хозяйства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17 августа 2016 г. № 573/пр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 252.1325800.2016. Свод правил. Здания дошкольных образовательных организаций. Правила проектирования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Министерства строительства и жилищно-коммунального хозяйства Российской Федерации от 30 декабря 2016 г. № 1034/пр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СП 42.13330.2016. Свод правил.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Градостроительство. Планировка и застройка городских и сельских поселений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Актуализированная редакция СНиП 2.07.01-89*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Министерства строи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тельства и жилищно-коммунального хозяйства Российск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ой Федерации от 01 августа 2018 г. № 474/пр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 396.1325800.2018.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вод правил. Улицы и дороги населенных пунктов. Правила градостроительного проектирования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Главного государственного санитарного врача Российской Федерации от 28 января 2021 г. № 3 «Об утверждении санитарных правил и норм СанПиН 2.1.3684-2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анитарно-эпидемиологические требования к содержанию территорий городских и сельских поселений, к водным объектам, питьевой воде </w:t>
        <w:br/>
        <w:t xml:space="preserve">и питьевому водоснабжению, атмосферному воздуху, почвам, жилым помещениям, эксплуатации производственных, общественных помещени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й, организации </w:t>
        <w:br/>
        <w:t xml:space="preserve">и проведению санитарно-противоэпидемических (пр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офилактических) мероприятий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Пермского края от 14 сентября 2011 г. № 805-ПК «О градостроительной деятельности в Пермском крае»;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Закон Пермского края от 12 июля 2024 г. № 329-ПК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«О Стратегии социально-экономического развития Пермского края до 2035 года»;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Пермского края от 27 октября 2009 г. </w:t>
        <w:br/>
        <w:t xml:space="preserve">№ 780-п «Об утверждении Схемы территориального планирования Пермского края»;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по управлению имуществом и градостроительной деятельности Пермского края от 30 декабря 2021 г. № 31-02-1-4-2250 «Об утверждении региональных нормативов градостроительного проектирования»;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17 декабря 2010 г. № 205 «Об утверждении Генерального плана города Перми»;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22 апреля 2014 г. № 85 «Об утверждении Стратегии социально-экономического развития муниципального образования город Пермь до 2030 года»;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trike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Пермской городской Думы от 17 декабря 2019 г. № 323 «Об утверждении Программы комплексного развития систем коммунальной инфраструктуры города Перми до 2022 года»;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26 октября 2021 г. № 232 «Об утверждении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Плана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2022-2026 годов»;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27 июня 2023 г. № 111 «Об утверждении Программы комплексного развития социальной инфраструктуры города Перми на 2023-2034 годы»;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администрации города Перми от 29 апреля 2011 г. № 188 «Об утверждении перечня объектов озеленения общего пользования города Перми»;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17 октября 2024 г. № 922 «Об утверждении муниципальной программы «Экономическое развитие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962 «Об утверждении муниципальной программы «Развитие физической культуры </w:t>
        <w:br/>
        <w:t xml:space="preserve">и спорта в городе Перми»;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963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муниципальной программы «Организация регулярных перевозок общественным транспортом в городе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964 «Об утверждении муниципальной программы «Развитие системы жилищно-коммунального хозяйства в городе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 от 18 октября 2024 г. № 965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муниципальной программы «Доступное и качественное образование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966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муниципальной программы «Дорожная деятельность и благоустройство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пункт</w:t>
      </w:r>
      <w:r>
        <w:rPr>
          <w:sz w:val="28"/>
          <w:szCs w:val="28"/>
          <w:highlight w:val="none"/>
        </w:rPr>
        <w:t xml:space="preserve"> 2.5 части 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.5. Показатели минимально допустимого уровня обеспеченности населения библиотеками и показатели максимально допустимого уровня территориальной доступности объектов для населения приняты согласно рекомендуемым для городских округов нормам и нормативам обесп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ченности населения библиотеками (таблица № 1 приложения к Методическим рекомендациям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обеспеченности населения услугами организаций культуры, утвержденным распоряжением Министерства культуры Российской Федерации </w:t>
        <w:br/>
        <w:t xml:space="preserve">от 23 октября 2023 г. № Р-2879).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приложение изложить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  <w:highlight w:val="white"/>
        </w:rPr>
        <w:t xml:space="preserve">обнародования посредством официального опубликования</w:t>
      </w:r>
      <w:r>
        <w:rPr>
          <w:sz w:val="28"/>
          <w:szCs w:val="28"/>
          <w:highlight w:val="white"/>
        </w:rPr>
        <w:t xml:space="preserve"> в печатном средстве массовой информации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1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чить </w:t>
      </w:r>
      <w:r>
        <w:rPr>
          <w:sz w:val="28"/>
          <w:szCs w:val="28"/>
          <w:highlight w:val="white"/>
        </w:rPr>
        <w:t xml:space="preserve">обнародование</w:t>
      </w:r>
      <w:r>
        <w:rPr>
          <w:sz w:val="28"/>
          <w:szCs w:val="28"/>
          <w:highlight w:val="white"/>
        </w:rPr>
        <w:t xml:space="preserve"> настоящего постановления </w:t>
      </w:r>
      <w:r>
        <w:rPr>
          <w:sz w:val="28"/>
          <w:szCs w:val="28"/>
          <w:highlight w:val="white"/>
        </w:rPr>
        <w:t xml:space="preserve">посредством официального опубликования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печатном средстве массовой информации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ципального образования город Пермь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Информационно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аналитическому управлению администрации города Перми обеспечить </w:t>
      </w:r>
      <w:r>
        <w:rPr>
          <w:sz w:val="28"/>
          <w:szCs w:val="28"/>
          <w:highlight w:val="white"/>
        </w:rPr>
        <w:t xml:space="preserve">обнародование</w:t>
      </w:r>
      <w:r>
        <w:rPr>
          <w:sz w:val="28"/>
          <w:szCs w:val="28"/>
          <w:highlight w:val="white"/>
        </w:rPr>
        <w:t xml:space="preserve"> настоящего постановления </w:t>
      </w:r>
      <w:r>
        <w:rPr>
          <w:sz w:val="28"/>
          <w:szCs w:val="28"/>
          <w:highlight w:val="white"/>
        </w:rPr>
        <w:t xml:space="preserve">посредством официального опубликования в сетевом издании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«Официальный сайт муниципального образования город Пермь www.gorodperm.ru»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Департаменту градостроительства и архитектуры администрации города Перми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размещение </w:t>
      </w:r>
      <w:r>
        <w:rPr>
          <w:sz w:val="28"/>
          <w:szCs w:val="28"/>
          <w:highlight w:val="white"/>
        </w:rPr>
        <w:t xml:space="preserve">настоящего постановления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</w:rPr>
        <w:t xml:space="preserve">федеральной государственной информационной системе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ториального планирования </w:t>
      </w:r>
      <w:r>
        <w:rPr>
          <w:sz w:val="28"/>
          <w:szCs w:val="28"/>
        </w:rPr>
        <w:t xml:space="preserve">в срок не более 5 календарных дней со дня вступления в силу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5.2. направление </w:t>
      </w:r>
      <w:r>
        <w:rPr>
          <w:sz w:val="28"/>
          <w:szCs w:val="28"/>
          <w:highlight w:val="white"/>
        </w:rPr>
        <w:t xml:space="preserve">настоящего постановления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 Министерство по управлению имуществом и градостроительной деятельности Пермского края в срок не более 10 рабочих дней со дня вступления в силу настоящего постановления в соответствии с Порядком ведения реестра нормативов градостроительного проектирован</w:t>
      </w:r>
      <w:r>
        <w:rPr>
          <w:sz w:val="28"/>
          <w:szCs w:val="28"/>
        </w:rPr>
        <w:t xml:space="preserve">ия Пермского края, утвержденным</w:t>
      </w:r>
      <w:r>
        <w:rPr>
          <w:sz w:val="28"/>
          <w:szCs w:val="28"/>
        </w:rPr>
        <w:t xml:space="preserve"> постановлением Пра</w:t>
      </w:r>
      <w:r>
        <w:rPr>
          <w:sz w:val="28"/>
          <w:szCs w:val="28"/>
        </w:rPr>
        <w:t xml:space="preserve">вительства Пермского края от 23 января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 </w:t>
      </w:r>
      <w:r>
        <w:rPr>
          <w:sz w:val="28"/>
          <w:szCs w:val="28"/>
          <w:highlight w:val="white"/>
        </w:rPr>
        <w:t xml:space="preserve">«Об утверждении Порядка ведения и формы реестра нормативов градостроительного проектирования Пермского края».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rPr>
          <w:sz w:val="28"/>
          <w:szCs w:val="28"/>
        </w:rPr>
      </w:pPr>
      <w:r>
        <w:rPr>
          <w:sz w:val="28"/>
          <w:szCs w:val="28"/>
        </w:rPr>
        <w:t xml:space="preserve">И.о. Глав</w:t>
      </w:r>
      <w:r>
        <w:rPr>
          <w:sz w:val="28"/>
          <w:szCs w:val="28"/>
        </w:rPr>
        <w:t xml:space="preserve">ы города Перми </w:t>
      </w:r>
      <w:r>
        <w:rPr>
          <w:sz w:val="28"/>
          <w:szCs w:val="28"/>
        </w:rPr>
        <w:t xml:space="preserve">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35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</w:pPr>
    <w:fldSimple w:instr="PAGE \* MERGEFORMAT">
      <w:r>
        <w:t xml:space="preserve">1</w:t>
      </w:r>
    </w:fldSimple>
    <w:r/>
    <w:r/>
  </w:p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1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38" w:hanging="720"/>
      </w:pPr>
      <w:rPr>
        <w:strike w:val="0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7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5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72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strike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21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4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68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4"/>
      <w:numFmt w:val="decimal"/>
      <w:isLgl w:val="false"/>
      <w:suff w:val="tab"/>
      <w:lvlText w:val="%1.%2."/>
      <w:lvlJc w:val="left"/>
      <w:pPr>
        <w:ind w:left="899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7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5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72" w:hanging="180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2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7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216" w:hanging="54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171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28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9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1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8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85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35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8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1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8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8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4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0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10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6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6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29" w:hanging="180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ind w:left="1078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14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3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0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24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200" w:hanging="78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260" w:hanging="780"/>
      </w:pPr>
    </w:lvl>
    <w:lvl w:ilvl="3">
      <w:start w:val="5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4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049" w:hanging="600"/>
      </w:pPr>
      <w:rPr>
        <w:rFonts w:cs="Times New Roman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25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47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9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85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334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23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2" w:hanging="180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50" w:hanging="540"/>
      </w:pPr>
    </w:lvl>
    <w:lvl w:ilvl="1">
      <w:start w:val="6"/>
      <w:numFmt w:val="decimal"/>
      <w:isLgl w:val="false"/>
      <w:suff w:val="tab"/>
      <w:lvlText w:val="%1.%2."/>
      <w:lvlJc w:val="left"/>
      <w:pPr>
        <w:ind w:left="1746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1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7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12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2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78" w:hanging="180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eastAsia="Calibri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ind w:left="1078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4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3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0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24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6"/>
      <w:numFmt w:val="decimal"/>
      <w:isLgl w:val="false"/>
      <w:suff w:val="tab"/>
      <w:lvlText w:val="%1.%2"/>
      <w:lvlJc w:val="left"/>
      <w:pPr>
        <w:ind w:left="929" w:hanging="480"/>
      </w:pPr>
    </w:lvl>
    <w:lvl w:ilvl="2">
      <w:start w:val="2"/>
      <w:numFmt w:val="decimal"/>
      <w:isLgl w:val="false"/>
      <w:suff w:val="tab"/>
      <w:lvlText w:val="%1.%2.%3"/>
      <w:lvlJc w:val="left"/>
      <w:pPr>
        <w:ind w:left="125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3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8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33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42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72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0" w:hanging="780"/>
      </w:pPr>
    </w:lvl>
    <w:lvl w:ilvl="1">
      <w:start w:val="2"/>
      <w:numFmt w:val="decimal"/>
      <w:isLgl w:val="false"/>
      <w:suff w:val="tab"/>
      <w:lvlText w:val="%1.%2"/>
      <w:lvlJc w:val="left"/>
      <w:pPr>
        <w:ind w:left="1605" w:hanging="780"/>
      </w:pPr>
    </w:lvl>
    <w:lvl w:ilvl="2">
      <w:start w:val="10"/>
      <w:numFmt w:val="decimal"/>
      <w:isLgl w:val="false"/>
      <w:suff w:val="tab"/>
      <w:lvlText w:val="%1.%2.%3"/>
      <w:lvlJc w:val="left"/>
      <w:pPr>
        <w:ind w:left="2430" w:hanging="78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55" w:hanging="7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3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20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39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15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400" w:hanging="1800"/>
      </w:pPr>
    </w:lvl>
  </w:abstractNum>
  <w:num w:numId="1">
    <w:abstractNumId w:val="14"/>
  </w:num>
  <w:num w:numId="2">
    <w:abstractNumId w:val="23"/>
  </w:num>
  <w:num w:numId="3">
    <w:abstractNumId w:val="4"/>
  </w:num>
  <w:num w:numId="4">
    <w:abstractNumId w:val="22"/>
  </w:num>
  <w:num w:numId="5">
    <w:abstractNumId w:val="12"/>
  </w:num>
  <w:num w:numId="6">
    <w:abstractNumId w:val="9"/>
  </w:num>
  <w:num w:numId="7">
    <w:abstractNumId w:val="25"/>
  </w:num>
  <w:num w:numId="8">
    <w:abstractNumId w:val="26"/>
  </w:num>
  <w:num w:numId="9">
    <w:abstractNumId w:val="17"/>
  </w:num>
  <w:num w:numId="10">
    <w:abstractNumId w:val="16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0"/>
  </w:num>
  <w:num w:numId="18">
    <w:abstractNumId w:val="18"/>
  </w:num>
  <w:num w:numId="19">
    <w:abstractNumId w:val="13"/>
  </w:num>
  <w:num w:numId="20">
    <w:abstractNumId w:val="3"/>
  </w:num>
  <w:num w:numId="21">
    <w:abstractNumId w:val="24"/>
  </w:num>
  <w:num w:numId="22">
    <w:abstractNumId w:val="7"/>
  </w:num>
  <w:num w:numId="23">
    <w:abstractNumId w:val="5"/>
  </w:num>
  <w:num w:numId="24">
    <w:abstractNumId w:val="21"/>
  </w:num>
  <w:num w:numId="25">
    <w:abstractNumId w:val="6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1"/>
    <w:basedOn w:val="931"/>
    <w:next w:val="931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>
    <w:name w:val="Heading 2"/>
    <w:basedOn w:val="931"/>
    <w:next w:val="931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31"/>
    <w:next w:val="931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31"/>
    <w:next w:val="931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31"/>
    <w:next w:val="931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31"/>
    <w:next w:val="931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31"/>
    <w:next w:val="931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31"/>
    <w:next w:val="931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31"/>
    <w:next w:val="931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931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pPr>
      <w:spacing w:before="0" w:after="0" w:line="240" w:lineRule="auto"/>
    </w:pPr>
  </w:style>
  <w:style w:type="paragraph" w:styleId="773">
    <w:name w:val="Title"/>
    <w:basedOn w:val="931"/>
    <w:next w:val="931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link w:val="773"/>
    <w:uiPriority w:val="10"/>
    <w:rPr>
      <w:sz w:val="48"/>
      <w:szCs w:val="48"/>
    </w:rPr>
  </w:style>
  <w:style w:type="paragraph" w:styleId="775">
    <w:name w:val="Subtitle"/>
    <w:basedOn w:val="931"/>
    <w:next w:val="931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link w:val="775"/>
    <w:uiPriority w:val="11"/>
    <w:rPr>
      <w:sz w:val="24"/>
      <w:szCs w:val="24"/>
    </w:rPr>
  </w:style>
  <w:style w:type="paragraph" w:styleId="777">
    <w:name w:val="Quote"/>
    <w:basedOn w:val="931"/>
    <w:next w:val="931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31"/>
    <w:next w:val="931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paragraph" w:styleId="781">
    <w:name w:val="Header"/>
    <w:basedOn w:val="931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Header Char"/>
    <w:link w:val="781"/>
    <w:uiPriority w:val="99"/>
  </w:style>
  <w:style w:type="paragraph" w:styleId="783">
    <w:name w:val="Footer"/>
    <w:basedOn w:val="931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Footer Char"/>
    <w:link w:val="783"/>
    <w:uiPriority w:val="99"/>
  </w:style>
  <w:style w:type="paragraph" w:styleId="785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783"/>
    <w:uiPriority w:val="99"/>
  </w:style>
  <w:style w:type="table" w:styleId="7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3">
    <w:name w:val="Hyperlink"/>
    <w:uiPriority w:val="99"/>
    <w:unhideWhenUsed/>
    <w:rPr>
      <w:color w:val="0000ff" w:themeColor="hyperlink"/>
      <w:u w:val="single"/>
    </w:rPr>
  </w:style>
  <w:style w:type="paragraph" w:styleId="914">
    <w:name w:val="footnote text"/>
    <w:basedOn w:val="93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>
    <w:name w:val="Footnote Text Char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next w:val="931"/>
    <w:link w:val="931"/>
    <w:qFormat/>
    <w:rPr>
      <w:lang w:val="ru-RU" w:eastAsia="ru-RU" w:bidi="ar-SA"/>
    </w:rPr>
  </w:style>
  <w:style w:type="paragraph" w:styleId="932">
    <w:name w:val="Заголовок 1"/>
    <w:basedOn w:val="931"/>
    <w:next w:val="931"/>
    <w:link w:val="1032"/>
    <w:uiPriority w:val="9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33">
    <w:name w:val="Заголовок 2"/>
    <w:basedOn w:val="931"/>
    <w:next w:val="931"/>
    <w:link w:val="1031"/>
    <w:uiPriority w:val="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34">
    <w:name w:val="Основной шрифт абзаца"/>
    <w:next w:val="934"/>
    <w:link w:val="931"/>
    <w:semiHidden/>
  </w:style>
  <w:style w:type="table" w:styleId="935">
    <w:name w:val="Обычная таблица"/>
    <w:next w:val="935"/>
    <w:link w:val="931"/>
    <w:semiHidden/>
    <w:tblPr/>
  </w:style>
  <w:style w:type="numbering" w:styleId="936">
    <w:name w:val="Нет списка"/>
    <w:next w:val="936"/>
    <w:link w:val="931"/>
    <w:uiPriority w:val="99"/>
    <w:semiHidden/>
  </w:style>
  <w:style w:type="paragraph" w:styleId="937">
    <w:name w:val="Название объекта"/>
    <w:basedOn w:val="931"/>
    <w:next w:val="931"/>
    <w:link w:val="93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8">
    <w:name w:val="Основной текст"/>
    <w:basedOn w:val="931"/>
    <w:next w:val="938"/>
    <w:link w:val="966"/>
    <w:pPr>
      <w:ind w:right="3117"/>
    </w:pPr>
    <w:rPr>
      <w:rFonts w:ascii="Courier New" w:hAnsi="Courier New"/>
      <w:sz w:val="26"/>
      <w:lang w:val="en-US" w:eastAsia="en-US"/>
    </w:rPr>
  </w:style>
  <w:style w:type="paragraph" w:styleId="939">
    <w:name w:val="Основной текст с отступом"/>
    <w:basedOn w:val="931"/>
    <w:next w:val="939"/>
    <w:link w:val="931"/>
    <w:pPr>
      <w:ind w:right="-1"/>
      <w:jc w:val="both"/>
    </w:pPr>
    <w:rPr>
      <w:sz w:val="26"/>
    </w:rPr>
  </w:style>
  <w:style w:type="paragraph" w:styleId="940">
    <w:name w:val="Нижний колонтитул"/>
    <w:basedOn w:val="931"/>
    <w:next w:val="940"/>
    <w:link w:val="1025"/>
    <w:uiPriority w:val="99"/>
    <w:pPr>
      <w:tabs>
        <w:tab w:val="center" w:pos="4153" w:leader="none"/>
        <w:tab w:val="right" w:pos="8306" w:leader="none"/>
      </w:tabs>
    </w:pPr>
  </w:style>
  <w:style w:type="character" w:styleId="941">
    <w:name w:val="Номер страницы"/>
    <w:basedOn w:val="934"/>
    <w:next w:val="941"/>
    <w:link w:val="931"/>
  </w:style>
  <w:style w:type="paragraph" w:styleId="942">
    <w:name w:val="Верхний колонтитул"/>
    <w:basedOn w:val="931"/>
    <w:next w:val="942"/>
    <w:link w:val="945"/>
    <w:uiPriority w:val="99"/>
    <w:pPr>
      <w:tabs>
        <w:tab w:val="center" w:pos="4153" w:leader="none"/>
        <w:tab w:val="right" w:pos="8306" w:leader="none"/>
      </w:tabs>
    </w:pPr>
  </w:style>
  <w:style w:type="paragraph" w:styleId="943">
    <w:name w:val="Текст выноски"/>
    <w:basedOn w:val="931"/>
    <w:next w:val="943"/>
    <w:link w:val="944"/>
    <w:uiPriority w:val="99"/>
    <w:rPr>
      <w:rFonts w:ascii="Segoe UI" w:hAnsi="Segoe UI"/>
      <w:sz w:val="18"/>
      <w:szCs w:val="18"/>
      <w:lang w:val="en-US" w:eastAsia="en-US"/>
    </w:rPr>
  </w:style>
  <w:style w:type="character" w:styleId="944">
    <w:name w:val="Текст выноски Знак"/>
    <w:next w:val="944"/>
    <w:link w:val="943"/>
    <w:uiPriority w:val="99"/>
    <w:rPr>
      <w:rFonts w:ascii="Segoe UI" w:hAnsi="Segoe UI" w:cs="Segoe UI"/>
      <w:sz w:val="18"/>
      <w:szCs w:val="18"/>
    </w:rPr>
  </w:style>
  <w:style w:type="character" w:styleId="945">
    <w:name w:val="Верхний колонтитул Знак"/>
    <w:next w:val="945"/>
    <w:link w:val="942"/>
    <w:uiPriority w:val="99"/>
  </w:style>
  <w:style w:type="numbering" w:styleId="946">
    <w:name w:val="Нет списка1"/>
    <w:next w:val="936"/>
    <w:link w:val="931"/>
    <w:uiPriority w:val="99"/>
    <w:semiHidden/>
    <w:unhideWhenUsed/>
  </w:style>
  <w:style w:type="paragraph" w:styleId="947">
    <w:name w:val="Без интервала"/>
    <w:next w:val="947"/>
    <w:link w:val="103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48">
    <w:name w:val="Гиперссылка"/>
    <w:next w:val="948"/>
    <w:link w:val="931"/>
    <w:uiPriority w:val="99"/>
    <w:unhideWhenUsed/>
    <w:rPr>
      <w:color w:val="0000ff"/>
      <w:u w:val="single"/>
    </w:rPr>
  </w:style>
  <w:style w:type="character" w:styleId="949">
    <w:name w:val="Просмотренная гиперссылка"/>
    <w:next w:val="949"/>
    <w:link w:val="931"/>
    <w:uiPriority w:val="99"/>
    <w:unhideWhenUsed/>
    <w:rPr>
      <w:color w:val="800080"/>
      <w:u w:val="single"/>
    </w:rPr>
  </w:style>
  <w:style w:type="paragraph" w:styleId="950">
    <w:name w:val="xl65"/>
    <w:basedOn w:val="931"/>
    <w:next w:val="950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>
    <w:name w:val="xl66"/>
    <w:basedOn w:val="931"/>
    <w:next w:val="951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>
    <w:name w:val="xl67"/>
    <w:basedOn w:val="931"/>
    <w:next w:val="952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68"/>
    <w:basedOn w:val="931"/>
    <w:next w:val="953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>
    <w:name w:val="xl69"/>
    <w:basedOn w:val="931"/>
    <w:next w:val="954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>
    <w:name w:val="xl70"/>
    <w:basedOn w:val="931"/>
    <w:next w:val="955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6">
    <w:name w:val="xl71"/>
    <w:basedOn w:val="931"/>
    <w:next w:val="956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>
    <w:name w:val="xl72"/>
    <w:basedOn w:val="931"/>
    <w:next w:val="957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>
    <w:name w:val="xl73"/>
    <w:basedOn w:val="931"/>
    <w:next w:val="958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>
    <w:name w:val="xl74"/>
    <w:basedOn w:val="931"/>
    <w:next w:val="959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>
    <w:name w:val="xl75"/>
    <w:basedOn w:val="931"/>
    <w:next w:val="960"/>
    <w:link w:val="9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>
    <w:name w:val="xl76"/>
    <w:basedOn w:val="931"/>
    <w:next w:val="961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>
    <w:name w:val="xl77"/>
    <w:basedOn w:val="931"/>
    <w:next w:val="962"/>
    <w:link w:val="93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>
    <w:name w:val="xl78"/>
    <w:basedOn w:val="931"/>
    <w:next w:val="963"/>
    <w:link w:val="9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>
    <w:name w:val="xl79"/>
    <w:basedOn w:val="931"/>
    <w:next w:val="964"/>
    <w:link w:val="9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>
    <w:name w:val="Форма"/>
    <w:next w:val="965"/>
    <w:link w:val="931"/>
    <w:rPr>
      <w:sz w:val="28"/>
      <w:szCs w:val="28"/>
      <w:lang w:val="ru-RU" w:eastAsia="ru-RU" w:bidi="ar-SA"/>
    </w:rPr>
  </w:style>
  <w:style w:type="character" w:styleId="966">
    <w:name w:val="Основной текст Знак"/>
    <w:next w:val="966"/>
    <w:link w:val="938"/>
    <w:rPr>
      <w:rFonts w:ascii="Courier New" w:hAnsi="Courier New"/>
      <w:sz w:val="26"/>
    </w:rPr>
  </w:style>
  <w:style w:type="paragraph" w:styleId="967">
    <w:name w:val="ConsPlusNormal"/>
    <w:next w:val="967"/>
    <w:link w:val="931"/>
    <w:rPr>
      <w:sz w:val="28"/>
      <w:szCs w:val="28"/>
      <w:lang w:val="ru-RU" w:eastAsia="ru-RU" w:bidi="ar-SA"/>
    </w:rPr>
  </w:style>
  <w:style w:type="numbering" w:styleId="968">
    <w:name w:val="Нет списка11"/>
    <w:next w:val="936"/>
    <w:link w:val="931"/>
    <w:uiPriority w:val="99"/>
    <w:semiHidden/>
    <w:unhideWhenUsed/>
  </w:style>
  <w:style w:type="numbering" w:styleId="969">
    <w:name w:val="Нет списка111"/>
    <w:next w:val="936"/>
    <w:link w:val="931"/>
    <w:uiPriority w:val="99"/>
    <w:semiHidden/>
    <w:unhideWhenUsed/>
  </w:style>
  <w:style w:type="paragraph" w:styleId="970">
    <w:name w:val="font5"/>
    <w:basedOn w:val="931"/>
    <w:next w:val="970"/>
    <w:link w:val="93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1">
    <w:name w:val="xl80"/>
    <w:basedOn w:val="931"/>
    <w:next w:val="971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2">
    <w:name w:val="xl81"/>
    <w:basedOn w:val="931"/>
    <w:next w:val="972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3">
    <w:name w:val="xl82"/>
    <w:basedOn w:val="931"/>
    <w:next w:val="973"/>
    <w:link w:val="93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4">
    <w:name w:val="Сетка таблицы"/>
    <w:basedOn w:val="935"/>
    <w:next w:val="974"/>
    <w:link w:val="931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75">
    <w:name w:val="xl83"/>
    <w:basedOn w:val="931"/>
    <w:next w:val="975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84"/>
    <w:basedOn w:val="931"/>
    <w:next w:val="976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>
    <w:name w:val="xl85"/>
    <w:basedOn w:val="931"/>
    <w:next w:val="977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>
    <w:name w:val="xl86"/>
    <w:basedOn w:val="931"/>
    <w:next w:val="978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>
    <w:name w:val="xl87"/>
    <w:basedOn w:val="931"/>
    <w:next w:val="979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>
    <w:name w:val="xl88"/>
    <w:basedOn w:val="931"/>
    <w:next w:val="980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>
    <w:name w:val="xl89"/>
    <w:basedOn w:val="931"/>
    <w:next w:val="981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>
    <w:name w:val="xl90"/>
    <w:basedOn w:val="931"/>
    <w:next w:val="982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>
    <w:name w:val="xl91"/>
    <w:basedOn w:val="931"/>
    <w:next w:val="983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>
    <w:name w:val="xl92"/>
    <w:basedOn w:val="931"/>
    <w:next w:val="984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5">
    <w:name w:val="xl93"/>
    <w:basedOn w:val="931"/>
    <w:next w:val="985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>
    <w:name w:val="xl94"/>
    <w:basedOn w:val="931"/>
    <w:next w:val="986"/>
    <w:link w:val="93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>
    <w:name w:val="xl95"/>
    <w:basedOn w:val="931"/>
    <w:next w:val="987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>
    <w:name w:val="xl96"/>
    <w:basedOn w:val="931"/>
    <w:next w:val="988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>
    <w:name w:val="xl97"/>
    <w:basedOn w:val="931"/>
    <w:next w:val="989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>
    <w:name w:val="xl98"/>
    <w:basedOn w:val="931"/>
    <w:next w:val="990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1">
    <w:name w:val="xl99"/>
    <w:basedOn w:val="931"/>
    <w:next w:val="991"/>
    <w:link w:val="93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>
    <w:name w:val="xl100"/>
    <w:basedOn w:val="931"/>
    <w:next w:val="992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01"/>
    <w:basedOn w:val="931"/>
    <w:next w:val="993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02"/>
    <w:basedOn w:val="931"/>
    <w:next w:val="994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03"/>
    <w:basedOn w:val="931"/>
    <w:next w:val="995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04"/>
    <w:basedOn w:val="931"/>
    <w:next w:val="996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05"/>
    <w:basedOn w:val="931"/>
    <w:next w:val="997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06"/>
    <w:basedOn w:val="931"/>
    <w:next w:val="998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9">
    <w:name w:val="xl107"/>
    <w:basedOn w:val="931"/>
    <w:next w:val="999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08"/>
    <w:basedOn w:val="931"/>
    <w:next w:val="1000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>
    <w:name w:val="xl109"/>
    <w:basedOn w:val="931"/>
    <w:next w:val="1001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>
    <w:name w:val="xl110"/>
    <w:basedOn w:val="931"/>
    <w:next w:val="1002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11"/>
    <w:basedOn w:val="931"/>
    <w:next w:val="1003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>
    <w:name w:val="xl112"/>
    <w:basedOn w:val="931"/>
    <w:next w:val="1004"/>
    <w:link w:val="93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5">
    <w:name w:val="xl113"/>
    <w:basedOn w:val="931"/>
    <w:next w:val="1005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14"/>
    <w:basedOn w:val="931"/>
    <w:next w:val="1006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>
    <w:name w:val="xl115"/>
    <w:basedOn w:val="931"/>
    <w:next w:val="1007"/>
    <w:link w:val="93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8">
    <w:name w:val="xl116"/>
    <w:basedOn w:val="931"/>
    <w:next w:val="1008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17"/>
    <w:basedOn w:val="931"/>
    <w:next w:val="1009"/>
    <w:link w:val="93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>
    <w:name w:val="xl118"/>
    <w:basedOn w:val="931"/>
    <w:next w:val="1010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19"/>
    <w:basedOn w:val="931"/>
    <w:next w:val="1011"/>
    <w:link w:val="9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20"/>
    <w:basedOn w:val="931"/>
    <w:next w:val="1012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>
    <w:name w:val="xl121"/>
    <w:basedOn w:val="931"/>
    <w:next w:val="1013"/>
    <w:link w:val="9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4">
    <w:name w:val="xl122"/>
    <w:basedOn w:val="931"/>
    <w:next w:val="1014"/>
    <w:link w:val="9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23"/>
    <w:basedOn w:val="931"/>
    <w:next w:val="1015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6">
    <w:name w:val="xl124"/>
    <w:basedOn w:val="931"/>
    <w:next w:val="1016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7">
    <w:name w:val="xl125"/>
    <w:basedOn w:val="931"/>
    <w:next w:val="1017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8">
    <w:name w:val="Нет списка2"/>
    <w:next w:val="936"/>
    <w:link w:val="931"/>
    <w:uiPriority w:val="99"/>
    <w:semiHidden/>
    <w:unhideWhenUsed/>
  </w:style>
  <w:style w:type="numbering" w:styleId="1019">
    <w:name w:val="Нет списка3"/>
    <w:next w:val="936"/>
    <w:link w:val="931"/>
    <w:uiPriority w:val="99"/>
    <w:semiHidden/>
    <w:unhideWhenUsed/>
  </w:style>
  <w:style w:type="paragraph" w:styleId="1020">
    <w:name w:val="font6"/>
    <w:basedOn w:val="931"/>
    <w:next w:val="1020"/>
    <w:link w:val="9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1">
    <w:name w:val="font7"/>
    <w:basedOn w:val="931"/>
    <w:next w:val="1021"/>
    <w:link w:val="9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2">
    <w:name w:val="font8"/>
    <w:basedOn w:val="931"/>
    <w:next w:val="1022"/>
    <w:link w:val="93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3">
    <w:name w:val="Нет списка4"/>
    <w:next w:val="936"/>
    <w:link w:val="931"/>
    <w:uiPriority w:val="99"/>
    <w:semiHidden/>
    <w:unhideWhenUsed/>
  </w:style>
  <w:style w:type="paragraph" w:styleId="1024">
    <w:name w:val="Абзац списка,Второй абзац списка,Список_маркированный,Список_маркированный1,ПАРАГРАФ,Абзац списка3,Варианты ответов,Имя рисунка,Булит,Bullet Number,Нумерованый список,List Paragraph1,Bullet List,A_маркированный_список,Список нумерованный цифры,Нумерация"/>
    <w:basedOn w:val="931"/>
    <w:next w:val="1024"/>
    <w:link w:val="104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25">
    <w:name w:val="Нижний колонтитул Знак"/>
    <w:next w:val="1025"/>
    <w:link w:val="940"/>
    <w:uiPriority w:val="99"/>
  </w:style>
  <w:style w:type="character" w:styleId="1026">
    <w:name w:val="Знак примечания"/>
    <w:next w:val="1026"/>
    <w:link w:val="931"/>
    <w:rPr>
      <w:sz w:val="16"/>
      <w:szCs w:val="16"/>
    </w:rPr>
  </w:style>
  <w:style w:type="paragraph" w:styleId="1027">
    <w:name w:val="Текст примечания"/>
    <w:basedOn w:val="931"/>
    <w:next w:val="1027"/>
    <w:link w:val="1028"/>
  </w:style>
  <w:style w:type="character" w:styleId="1028">
    <w:name w:val="Текст примечания Знак"/>
    <w:basedOn w:val="934"/>
    <w:next w:val="1028"/>
    <w:link w:val="1027"/>
  </w:style>
  <w:style w:type="paragraph" w:styleId="1029">
    <w:name w:val="Тема примечания"/>
    <w:basedOn w:val="1027"/>
    <w:next w:val="1027"/>
    <w:link w:val="1030"/>
    <w:rPr>
      <w:b/>
      <w:bCs/>
      <w:lang w:val="en-US" w:eastAsia="en-US"/>
    </w:rPr>
  </w:style>
  <w:style w:type="character" w:styleId="1030">
    <w:name w:val="Тема примечания Знак"/>
    <w:next w:val="1030"/>
    <w:link w:val="1029"/>
    <w:rPr>
      <w:b/>
      <w:bCs/>
    </w:rPr>
  </w:style>
  <w:style w:type="character" w:styleId="1031">
    <w:name w:val="Заголовок 2 Знак"/>
    <w:next w:val="1031"/>
    <w:link w:val="933"/>
    <w:uiPriority w:val="9"/>
    <w:rPr>
      <w:sz w:val="24"/>
    </w:rPr>
  </w:style>
  <w:style w:type="character" w:styleId="1032">
    <w:name w:val="Заголовок 1 Знак"/>
    <w:next w:val="1032"/>
    <w:link w:val="932"/>
    <w:uiPriority w:val="9"/>
    <w:rPr>
      <w:sz w:val="24"/>
    </w:rPr>
  </w:style>
  <w:style w:type="character" w:styleId="1033">
    <w:name w:val="Без интервала Знак"/>
    <w:next w:val="1033"/>
    <w:link w:val="947"/>
    <w:uiPriority w:val="1"/>
    <w:rPr>
      <w:rFonts w:ascii="Calibri" w:hAnsi="Calibri" w:eastAsia="Calibri"/>
      <w:sz w:val="22"/>
      <w:szCs w:val="22"/>
      <w:lang w:val="ru-RU" w:eastAsia="en-US" w:bidi="ar-SA"/>
    </w:rPr>
  </w:style>
  <w:style w:type="paragraph" w:styleId="1034">
    <w:name w:val="Заголовок оглавления"/>
    <w:basedOn w:val="932"/>
    <w:next w:val="931"/>
    <w:link w:val="931"/>
    <w:uiPriority w:val="39"/>
    <w:unhideWhenUsed/>
    <w:qFormat/>
    <w:pPr>
      <w:ind w:right="0" w:firstLine="0"/>
      <w:jc w:val="left"/>
      <w:keepLines/>
      <w:spacing w:before="240" w:line="259" w:lineRule="auto"/>
      <w:outlineLvl w:val="9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1035">
    <w:name w:val="Оглавление 1"/>
    <w:basedOn w:val="931"/>
    <w:next w:val="931"/>
    <w:link w:val="931"/>
    <w:uiPriority w:val="39"/>
    <w:unhideWhenUsed/>
    <w:pPr>
      <w:spacing w:after="100" w:line="259" w:lineRule="auto"/>
    </w:pPr>
    <w:rPr>
      <w:rFonts w:eastAsia="Calibri" w:cs="Times New Roman"/>
      <w:sz w:val="28"/>
      <w:szCs w:val="22"/>
      <w:lang w:eastAsia="en-US"/>
    </w:rPr>
  </w:style>
  <w:style w:type="paragraph" w:styleId="1036">
    <w:name w:val="Оглавление 2"/>
    <w:basedOn w:val="931"/>
    <w:next w:val="931"/>
    <w:link w:val="931"/>
    <w:uiPriority w:val="39"/>
    <w:unhideWhenUsed/>
    <w:pPr>
      <w:ind w:left="280"/>
      <w:spacing w:after="100" w:line="259" w:lineRule="auto"/>
    </w:pPr>
    <w:rPr>
      <w:rFonts w:eastAsia="Calibri" w:cs="Times New Roman"/>
      <w:sz w:val="28"/>
      <w:szCs w:val="22"/>
      <w:lang w:eastAsia="en-US"/>
    </w:rPr>
  </w:style>
  <w:style w:type="paragraph" w:styleId="1037">
    <w:name w:val="Текст сноски"/>
    <w:basedOn w:val="931"/>
    <w:next w:val="1037"/>
    <w:link w:val="1038"/>
    <w:uiPriority w:val="99"/>
    <w:unhideWhenUsed/>
    <w:rPr>
      <w:rFonts w:eastAsia="Calibri"/>
      <w:lang w:val="en-US" w:eastAsia="en-US"/>
    </w:rPr>
  </w:style>
  <w:style w:type="character" w:styleId="1038">
    <w:name w:val="Текст сноски Знак"/>
    <w:next w:val="1038"/>
    <w:link w:val="1037"/>
    <w:uiPriority w:val="99"/>
    <w:rPr>
      <w:rFonts w:eastAsia="Calibri" w:cs="Times New Roman"/>
      <w:lang w:eastAsia="en-US"/>
    </w:rPr>
  </w:style>
  <w:style w:type="character" w:styleId="1039">
    <w:name w:val="Знак сноски"/>
    <w:next w:val="1039"/>
    <w:link w:val="931"/>
    <w:uiPriority w:val="99"/>
    <w:unhideWhenUsed/>
    <w:rPr>
      <w:vertAlign w:val="superscript"/>
    </w:rPr>
  </w:style>
  <w:style w:type="character" w:styleId="1040">
    <w:name w:val="Абзац списка Знак,Второй абзац списка Знак,Список_маркированный Знак,Список_маркированный1 Знак,ПАРАГРАФ Знак,Абзац списка3 Знак,Варианты ответов Знак,Имя рисунка Знак,Булит Знак,Bullet Number Знак,Нумерованый список Знак,List Paragraph1 Знак"/>
    <w:next w:val="1040"/>
    <w:link w:val="1024"/>
    <w:uiPriority w:val="34"/>
    <w:rPr>
      <w:rFonts w:ascii="Calibri" w:hAnsi="Calibri" w:eastAsia="Calibri"/>
      <w:sz w:val="22"/>
      <w:szCs w:val="22"/>
      <w:lang w:eastAsia="en-US"/>
    </w:rPr>
  </w:style>
  <w:style w:type="paragraph" w:styleId="1041">
    <w:name w:val="ConsPlusTitle"/>
    <w:next w:val="1041"/>
    <w:link w:val="93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042" w:default="1">
    <w:name w:val="Default Paragraph Font"/>
    <w:uiPriority w:val="1"/>
    <w:semiHidden/>
    <w:unhideWhenUsed/>
  </w:style>
  <w:style w:type="numbering" w:styleId="1043" w:default="1">
    <w:name w:val="No List"/>
    <w:uiPriority w:val="99"/>
    <w:semiHidden/>
    <w:unhideWhenUsed/>
  </w:style>
  <w:style w:type="table" w:styleId="10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26</cp:revision>
  <dcterms:created xsi:type="dcterms:W3CDTF">2023-10-09T10:36:00Z</dcterms:created>
  <dcterms:modified xsi:type="dcterms:W3CDTF">2025-04-21T12:09:35Z</dcterms:modified>
  <cp:version>983040</cp:version>
</cp:coreProperties>
</file>