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line="283" w:lineRule="exact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83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</w:rPr>
        <w:t xml:space="preserve">О внесении изменений в </w:t>
      </w:r>
      <w:r>
        <w:rPr>
          <w:b/>
          <w:bCs/>
          <w:color w:val="000000"/>
        </w:rPr>
        <w:t xml:space="preserve">Порядок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предоставления субсидий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благоустройство </w:t>
      </w:r>
      <w:r>
        <w:rPr>
          <w:b/>
          <w:bCs/>
          <w:color w:val="000000"/>
        </w:rPr>
        <w:t xml:space="preserve">придомовых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территорий многоквартирных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домов города Перми и Порядок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отбора получателей субсидий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благоустройство </w:t>
      </w:r>
      <w:r>
        <w:rPr>
          <w:b/>
          <w:bCs/>
          <w:color w:val="000000"/>
        </w:rPr>
        <w:t xml:space="preserve">придомовых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  <w:color w:val="000000"/>
        </w:rPr>
      </w:pPr>
      <w:r>
        <w:rPr>
          <w:b/>
          <w:bCs/>
          <w:color w:val="000000"/>
        </w:rPr>
        <w:t xml:space="preserve">территорий многоквартирных 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921"/>
        <w:spacing w:line="238" w:lineRule="exact"/>
        <w:rPr>
          <w:b/>
          <w:bCs/>
        </w:rPr>
      </w:pPr>
      <w:r>
        <w:rPr>
          <w:b/>
          <w:bCs/>
          <w:color w:val="000000"/>
        </w:rPr>
        <w:t xml:space="preserve">домов города Перми</w:t>
      </w:r>
      <w:r>
        <w:rPr>
          <w:b/>
        </w:rPr>
        <w:t xml:space="preserve">, утвержденные </w:t>
      </w:r>
      <w:r>
        <w:rPr>
          <w:b/>
          <w:bCs/>
        </w:rPr>
      </w:r>
      <w:r>
        <w:rPr>
          <w:b/>
          <w:bCs/>
        </w:rPr>
      </w:r>
    </w:p>
    <w:p>
      <w:pPr>
        <w:pStyle w:val="921"/>
        <w:spacing w:line="238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21"/>
        <w:spacing w:line="238" w:lineRule="exact"/>
        <w:rPr>
          <w:b/>
          <w:bCs/>
        </w:rPr>
      </w:pPr>
      <w:r>
        <w:rPr>
          <w:b/>
        </w:rPr>
        <w:t xml:space="preserve">города Перми от 31.08.2012 № 511 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постано</w:t>
      </w:r>
      <w:r>
        <w:rPr>
          <w:sz w:val="28"/>
          <w:szCs w:val="24"/>
        </w:rPr>
        <w:t xml:space="preserve">в</w:t>
      </w:r>
      <w:r>
        <w:rPr>
          <w:sz w:val="28"/>
          <w:szCs w:val="24"/>
        </w:rPr>
        <w:t xml:space="preserve">лением Правительства Российско</w:t>
      </w:r>
      <w:r>
        <w:rPr>
          <w:sz w:val="28"/>
          <w:szCs w:val="24"/>
        </w:rPr>
        <w:t xml:space="preserve">й Федерации от 25 октября 2023 г. № 1782 </w:t>
      </w:r>
      <w:r>
        <w:rPr>
          <w:sz w:val="28"/>
          <w:szCs w:val="24"/>
        </w:rPr>
        <w:br/>
        <w:t xml:space="preserve">«Об утверждении общих требований к нормативным правовым актам, муниц</w:t>
      </w:r>
      <w:r>
        <w:rPr>
          <w:sz w:val="28"/>
          <w:szCs w:val="24"/>
        </w:rPr>
        <w:t xml:space="preserve">и</w:t>
      </w:r>
      <w:r>
        <w:rPr>
          <w:sz w:val="28"/>
          <w:szCs w:val="24"/>
        </w:rPr>
        <w:t xml:space="preserve">пальным правовым актам, регулирующим предоставление из бюджетов субъектов Российской Федерации, местных бюджетов субсидий, в том числе грантов в </w:t>
      </w:r>
      <w:r>
        <w:rPr>
          <w:sz w:val="28"/>
          <w:szCs w:val="24"/>
        </w:rPr>
        <w:t xml:space="preserve">фо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ме субсидий, юридическим лицам, индивидуальным предпринимателям, а также физическим лицам – производителям товаров, работ, услуг и проведение отборов</w:t>
      </w:r>
      <w:r>
        <w:rPr>
          <w:sz w:val="28"/>
          <w:szCs w:val="24"/>
        </w:rPr>
        <w:t xml:space="preserve"> получателей указанных субсидий</w:t>
      </w:r>
      <w:bookmarkStart w:id="0" w:name="_GoBack"/>
      <w:r/>
      <w:bookmarkEnd w:id="0"/>
      <w:r>
        <w:rPr>
          <w:sz w:val="28"/>
          <w:szCs w:val="24"/>
        </w:rPr>
        <w:t xml:space="preserve">, в том числе грантов в форме субсидий», реш</w:t>
      </w:r>
      <w:r>
        <w:rPr>
          <w:sz w:val="28"/>
          <w:szCs w:val="24"/>
        </w:rPr>
        <w:t xml:space="preserve">е</w:t>
      </w:r>
      <w:r>
        <w:rPr>
          <w:sz w:val="28"/>
          <w:szCs w:val="24"/>
        </w:rPr>
        <w:t xml:space="preserve">нием Пермской городской Думы</w:t>
      </w:r>
      <w:r>
        <w:rPr>
          <w:sz w:val="28"/>
          <w:szCs w:val="24"/>
        </w:rPr>
        <w:t xml:space="preserve"> от 26 июня 2012 г. № 115 «Об установлении ра</w:t>
      </w:r>
      <w:r>
        <w:rPr>
          <w:sz w:val="28"/>
          <w:szCs w:val="24"/>
        </w:rPr>
        <w:t xml:space="preserve">с</w:t>
      </w:r>
      <w:r>
        <w:rPr>
          <w:sz w:val="28"/>
          <w:szCs w:val="24"/>
        </w:rPr>
        <w:t xml:space="preserve">ходного обязательства по благоустройству придомовых территорий многоква</w:t>
      </w:r>
      <w:r>
        <w:rPr>
          <w:sz w:val="28"/>
          <w:szCs w:val="24"/>
        </w:rPr>
        <w:t xml:space="preserve">р</w:t>
      </w:r>
      <w:r>
        <w:rPr>
          <w:sz w:val="28"/>
          <w:szCs w:val="24"/>
        </w:rPr>
        <w:t xml:space="preserve">тирных домов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  <w:highlight w:val="white"/>
          <w:lang w:eastAsia="en-US"/>
        </w:rPr>
        <w:t xml:space="preserve">Утвердить прилагаемые изменения</w:t>
      </w:r>
      <w:r>
        <w:rPr>
          <w:sz w:val="28"/>
          <w:szCs w:val="24"/>
          <w:highlight w:val="white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Порядок</w:t>
      </w:r>
      <w:r>
        <w:rPr>
          <w:rFonts w:eastAsia="Calibri"/>
          <w:sz w:val="28"/>
          <w:szCs w:val="28"/>
          <w:lang w:eastAsia="en-US"/>
        </w:rPr>
        <w:t xml:space="preserve">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ста 2012 г. № 511 (</w:t>
      </w:r>
      <w:r>
        <w:rPr>
          <w:sz w:val="28"/>
          <w:szCs w:val="28"/>
        </w:rPr>
        <w:t xml:space="preserve">в ред. от 30.06.2014 № 430, от 23.07.2015 </w:t>
      </w:r>
      <w:r>
        <w:rPr>
          <w:sz w:val="28"/>
          <w:szCs w:val="28"/>
        </w:rPr>
        <w:t xml:space="preserve">№ 497, от 27.11.2015 </w:t>
      </w:r>
      <w:r>
        <w:rPr>
          <w:sz w:val="28"/>
          <w:szCs w:val="28"/>
        </w:rPr>
        <w:br/>
        <w:t xml:space="preserve">№ 990,</w:t>
      </w:r>
      <w:r>
        <w:rPr>
          <w:sz w:val="28"/>
          <w:szCs w:val="28"/>
        </w:rPr>
        <w:t xml:space="preserve"> от 06.05.2016 № 308, от 26.07.2016 № 532, от 26.08.2016 № 631, </w:t>
      </w:r>
      <w:r>
        <w:rPr>
          <w:sz w:val="28"/>
          <w:szCs w:val="28"/>
        </w:rPr>
        <w:br/>
        <w:t xml:space="preserve">от 05.06.2017 № 444, от 12.07.2017 № 525, от 20.04.2018 № 243, от 26.04.2019 </w:t>
      </w:r>
      <w:r>
        <w:rPr>
          <w:sz w:val="28"/>
          <w:szCs w:val="28"/>
        </w:rPr>
        <w:br/>
        <w:t xml:space="preserve">№ 133-П, от 04.03.2020</w:t>
      </w:r>
      <w:r>
        <w:rPr>
          <w:sz w:val="28"/>
          <w:szCs w:val="28"/>
        </w:rPr>
        <w:t xml:space="preserve"> № 202, от 27.03.2020 № 285, от 02.04.2021 № 226, </w:t>
      </w:r>
      <w:r>
        <w:rPr>
          <w:sz w:val="28"/>
          <w:szCs w:val="28"/>
        </w:rPr>
        <w:br/>
        <w:t xml:space="preserve">от 20.05.2021 № 359, от 11.06.2021 № 424</w:t>
      </w:r>
      <w:r>
        <w:rPr>
          <w:sz w:val="28"/>
          <w:szCs w:val="28"/>
        </w:rPr>
        <w:t xml:space="preserve">, от 05.03.2022 № 148, от 12.04.2022 </w:t>
      </w:r>
      <w:r>
        <w:rPr>
          <w:sz w:val="28"/>
          <w:szCs w:val="28"/>
        </w:rPr>
        <w:br/>
        <w:t xml:space="preserve">№ 272, от 23.06.2022 № 524, от 20.12.2022 № 1326, от 13.02.2023 № 95, </w:t>
      </w:r>
      <w:r>
        <w:rPr>
          <w:sz w:val="28"/>
          <w:szCs w:val="28"/>
        </w:rPr>
        <w:br/>
        <w:t xml:space="preserve">от 21.03.2023 № 221, от 14.04.2023 № 305, от 16.02.2024 № 118, от 27.05.2024 </w:t>
      </w:r>
      <w:r>
        <w:rPr>
          <w:sz w:val="28"/>
          <w:szCs w:val="28"/>
        </w:rPr>
        <w:br/>
        <w:t xml:space="preserve">№ 399, от 05.12.2024 № 1185).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white"/>
          <w:lang w:eastAsia="en-US"/>
        </w:rPr>
        <w:t xml:space="preserve">Утвердить прилагаемые изменения</w:t>
      </w:r>
      <w:r>
        <w:rPr>
          <w:sz w:val="28"/>
          <w:szCs w:val="24"/>
          <w:highlight w:val="white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П</w:t>
      </w:r>
      <w:r>
        <w:rPr>
          <w:rFonts w:eastAsia="Calibri"/>
          <w:sz w:val="28"/>
          <w:szCs w:val="28"/>
          <w:lang w:eastAsia="en-US"/>
        </w:rPr>
        <w:t xml:space="preserve">орядок </w:t>
      </w:r>
      <w:r>
        <w:rPr>
          <w:color w:val="000000"/>
          <w:sz w:val="28"/>
          <w:szCs w:val="28"/>
        </w:rPr>
        <w:t xml:space="preserve">отбора получателей субс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дий на благоустройство придомовых территорий многоквартирных домов города Перми</w:t>
      </w:r>
      <w:r>
        <w:rPr>
          <w:rFonts w:eastAsia="Calibri"/>
          <w:sz w:val="28"/>
          <w:szCs w:val="28"/>
          <w:lang w:eastAsia="en-US"/>
        </w:rPr>
        <w:t xml:space="preserve">, утвержденный постановлением администрации города Перми от 31 авг</w:t>
      </w:r>
      <w:r>
        <w:rPr>
          <w:rFonts w:eastAsia="Calibri"/>
          <w:sz w:val="28"/>
          <w:szCs w:val="28"/>
          <w:lang w:eastAsia="en-US"/>
        </w:rPr>
        <w:t xml:space="preserve">у</w:t>
      </w:r>
      <w:r>
        <w:rPr>
          <w:rFonts w:eastAsia="Calibri"/>
          <w:sz w:val="28"/>
          <w:szCs w:val="28"/>
          <w:lang w:eastAsia="en-US"/>
        </w:rPr>
        <w:t xml:space="preserve">ста 2012 г. № 511 (</w:t>
      </w:r>
      <w:r>
        <w:rPr>
          <w:sz w:val="28"/>
          <w:szCs w:val="28"/>
        </w:rPr>
        <w:t xml:space="preserve">в ред. от 30.06.2014 № 430, от 23.07.2015 </w:t>
      </w:r>
      <w:r>
        <w:rPr>
          <w:sz w:val="28"/>
          <w:szCs w:val="28"/>
        </w:rPr>
        <w:t xml:space="preserve">№ 497, от 27.11.20</w:t>
      </w:r>
      <w:r>
        <w:rPr>
          <w:sz w:val="28"/>
          <w:szCs w:val="28"/>
        </w:rPr>
        <w:t xml:space="preserve">15 № 990, от 06.05.2016 № 308, от 26.07.2016 № 532, от 26.08.2016 № 631, </w:t>
      </w:r>
      <w:r>
        <w:rPr>
          <w:sz w:val="28"/>
          <w:szCs w:val="28"/>
        </w:rPr>
        <w:br/>
        <w:t xml:space="preserve">от 05.06.2017 № 444, от 12.07.2017 № 525, от 20.04.2018 № 243, от 26.04.2019 </w:t>
      </w:r>
      <w:r>
        <w:rPr>
          <w:sz w:val="28"/>
          <w:szCs w:val="28"/>
        </w:rPr>
        <w:br/>
        <w:t xml:space="preserve">№ 133-П,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04.03.2020 № 202, от 27.03.2020 № 285, от 02.04.2021 № 226, </w:t>
      </w:r>
      <w:r>
        <w:rPr>
          <w:sz w:val="28"/>
          <w:szCs w:val="28"/>
        </w:rPr>
        <w:br/>
        <w:t xml:space="preserve">от 20.05.2021 № 359, от 11.06.2</w:t>
      </w:r>
      <w:r>
        <w:rPr>
          <w:sz w:val="28"/>
          <w:szCs w:val="28"/>
        </w:rPr>
        <w:t xml:space="preserve">021 № 424, от 05.03.2022 № 148, от 12.04.2022 </w:t>
      </w:r>
      <w:r>
        <w:rPr>
          <w:sz w:val="28"/>
          <w:szCs w:val="28"/>
        </w:rPr>
        <w:br/>
        <w:t xml:space="preserve">№ 272, от 23.06.2022 № 524, от 20.12.2022 № 1326, от 13.02.2023 № 95, </w:t>
      </w:r>
      <w:r>
        <w:rPr>
          <w:sz w:val="28"/>
          <w:szCs w:val="28"/>
        </w:rPr>
        <w:br/>
        <w:t xml:space="preserve">от 21.03.2023 № 221, от 14.04.2023 № 305, от 16.02.2024 № 118, от 27.05.2024 </w:t>
      </w:r>
      <w:r>
        <w:rPr>
          <w:sz w:val="28"/>
          <w:szCs w:val="28"/>
        </w:rPr>
        <w:br/>
        <w:t xml:space="preserve">№ 399, от 05.12.2024 № 1185).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</w:t>
      </w:r>
      <w:r>
        <w:rPr>
          <w:sz w:val="28"/>
          <w:szCs w:val="28"/>
        </w:rPr>
        <w:t xml:space="preserve">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4. Управлению по общим вопросам ад</w:t>
      </w:r>
      <w:r>
        <w:rPr>
          <w:sz w:val="28"/>
          <w:szCs w:val="28"/>
        </w:rPr>
        <w:t xml:space="preserve">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</w:t>
      </w:r>
      <w:r>
        <w:rPr>
          <w:sz w:val="28"/>
          <w:szCs w:val="28"/>
        </w:rPr>
        <w:t xml:space="preserve">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6. </w:t>
      </w:r>
      <w:r>
        <w:rPr>
          <w:sz w:val="28"/>
          <w:szCs w:val="24"/>
          <w:lang w:eastAsia="en-US"/>
        </w:rPr>
        <w:t xml:space="preserve">Контро</w:t>
      </w:r>
      <w:r>
        <w:rPr>
          <w:sz w:val="28"/>
          <w:szCs w:val="24"/>
          <w:lang w:eastAsia="en-US"/>
        </w:rPr>
        <w:t xml:space="preserve">ль за</w:t>
      </w:r>
      <w:r>
        <w:rPr>
          <w:sz w:val="28"/>
          <w:szCs w:val="24"/>
          <w:lang w:eastAsia="en-US"/>
        </w:rPr>
        <w:t xml:space="preserve"> исполнением </w:t>
      </w:r>
      <w:r>
        <w:rPr>
          <w:sz w:val="28"/>
          <w:szCs w:val="24"/>
          <w:lang w:eastAsia="en-US"/>
        </w:rPr>
        <w:t xml:space="preserve">настоящего </w:t>
      </w:r>
      <w:r>
        <w:rPr>
          <w:sz w:val="28"/>
          <w:szCs w:val="24"/>
          <w:lang w:eastAsia="en-US"/>
        </w:rPr>
        <w:t xml:space="preserve">постановления возложить </w:t>
      </w:r>
      <w:r>
        <w:rPr>
          <w:sz w:val="28"/>
          <w:szCs w:val="24"/>
          <w:lang w:eastAsia="en-US"/>
        </w:rPr>
        <w:br/>
        <w:t xml:space="preserve">на заместителя главы администрации города Перми </w:t>
      </w:r>
      <w:r>
        <w:rPr>
          <w:sz w:val="28"/>
          <w:szCs w:val="24"/>
          <w:lang w:eastAsia="en-US"/>
        </w:rPr>
        <w:t xml:space="preserve">Балахнина А.А.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38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17.04.2025 № 266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Порядок </w:t>
      </w:r>
      <w:r>
        <w:rPr>
          <w:b/>
          <w:bCs/>
          <w:sz w:val="28"/>
          <w:szCs w:val="28"/>
          <w:highlight w:val="white"/>
        </w:rPr>
        <w:t xml:space="preserve">предоставления субсидий на благоустройство придомовых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терр</w:t>
      </w: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white"/>
        </w:rPr>
        <w:t xml:space="preserve">торий многоквартирных домов города Перми, утвержденный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постановлен</w:t>
      </w:r>
      <w:r>
        <w:rPr>
          <w:b/>
          <w:bCs/>
          <w:sz w:val="28"/>
          <w:szCs w:val="28"/>
          <w:highlight w:val="white"/>
        </w:rPr>
        <w:t xml:space="preserve">и</w:t>
      </w:r>
      <w:r>
        <w:rPr>
          <w:b/>
          <w:bCs/>
          <w:sz w:val="28"/>
          <w:szCs w:val="28"/>
          <w:highlight w:val="white"/>
        </w:rPr>
        <w:t xml:space="preserve">ем администрации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от 31 августа 2012 г. № 511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 пункте 1.3 после слова «программы» слова «города Перми» исключит</w:t>
      </w:r>
      <w:r>
        <w:rPr>
          <w:sz w:val="28"/>
          <w:szCs w:val="28"/>
        </w:rPr>
        <w:t xml:space="preserve">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пункте 2.2 слова «благоустройство придомовых территорий» заменить словами «возмещение затрат в связи с выполнением работ по благоустройству придомовых территорий, указанных в пункте 2.4 настоящего Порядка, за счет средств бюджета города Перми, п</w:t>
      </w:r>
      <w:r>
        <w:rPr>
          <w:sz w:val="28"/>
          <w:szCs w:val="28"/>
        </w:rPr>
        <w:t xml:space="preserve">редусмотренных на финансирование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муниципальной программы «Развитие системы жилищно-коммунального 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зяйства в городе Перми» и мероприятий, направленных на решение отдельных вопросов местного значения в микрорайонах города Перми,».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Пункт 2.3 д</w:t>
      </w:r>
      <w:r>
        <w:rPr>
          <w:sz w:val="28"/>
          <w:szCs w:val="28"/>
        </w:rPr>
        <w:t xml:space="preserve">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eastAsia="Calibri"/>
          <w:sz w:val="28"/>
          <w:szCs w:val="28"/>
        </w:rPr>
        <w:t xml:space="preserve">представил </w:t>
      </w:r>
      <w:r>
        <w:rPr>
          <w:rFonts w:eastAsia="Calibri"/>
          <w:sz w:val="28"/>
          <w:szCs w:val="28"/>
        </w:rPr>
        <w:t xml:space="preserve">к заявке</w:t>
      </w:r>
      <w:r>
        <w:t xml:space="preserve"> </w:t>
      </w:r>
      <w:r>
        <w:rPr>
          <w:rFonts w:eastAsia="Calibri"/>
          <w:sz w:val="28"/>
          <w:szCs w:val="28"/>
        </w:rPr>
        <w:t xml:space="preserve">на участие в отборе получателей субсидии документы </w:t>
      </w:r>
      <w:r>
        <w:rPr>
          <w:rFonts w:eastAsia="Calibri"/>
          <w:sz w:val="28"/>
          <w:szCs w:val="28"/>
        </w:rPr>
        <w:br/>
        <w:t xml:space="preserve">в соответствии с пунктом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2.10</w:t>
      </w:r>
      <w:r>
        <w:rPr>
          <w:rFonts w:eastAsia="Calibri"/>
          <w:sz w:val="28"/>
          <w:szCs w:val="28"/>
        </w:rPr>
        <w:t xml:space="preserve"> настоящего Порядка.».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 2.4 после слова «парковок</w:t>
      </w:r>
      <w:r>
        <w:rPr>
          <w:sz w:val="28"/>
          <w:szCs w:val="28"/>
        </w:rPr>
        <w:t xml:space="preserve">» дополнить словами «обустройство </w:t>
        <w:br/>
        <w:t xml:space="preserve">систем видеонаблюдения придомовой территории многоквартирного дома,».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Пункт 2.5 дополнить абзацем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 выполнении работ по обустройству систем видеонаблюдения прид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мовой территории многоквартирно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дома получатель обязан обеспечить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ключение установленных видеокамер к Единой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системе видеонаблюдения Пер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края в порядке, определенном Положением о Единой системе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видеонабл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дения Пермского края, утвержденным указом губернатора Пермского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 марта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2023 г. № 29 «О Единой системе видеонаблюдения Пермского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В пункте 2.10.5: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6.1. абзац пятый после слова «территории» дополнить словами «(с учетом сведений, содержащихся в реестре недобросовестных поставщиков (подрядчиков, исполнителе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й), размещенном в единой информационной системе в сфере зак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пок), отобранно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по результатам отбора на конкурсной основе»;</w:t>
      </w:r>
      <w:r/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6.2. абзац шестой дополнить словами «с организацие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отобра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ной(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по результатам отбора на конкурсной основе».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Дополнит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 пунктом 2.10.13 следующего содержания:</w:t>
      </w:r>
      <w:r/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«2.10.13. документы, подтверждающие проведение отбора на конкурсной основе, предусмотренного аб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зацем пятым пункта 2.10.5 настоящего Порядка (и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вещение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отбора на конкурсной основе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или иные подтверждающие документы)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абзаце первом пункта 2.19 слова «10 рабочих дней за днем принятия Территориальным органом» заменить словами «10 рабочего дня, следующего </w:t>
        <w:br/>
        <w:t xml:space="preserve">за днем принятия Территориальным органом по результатам рассмотрения и пр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ерки документов».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Приложение 6 дополнить строкой 9 следующего содержания</w:t>
      </w:r>
      <w:r>
        <w:rPr>
          <w:sz w:val="28"/>
          <w:szCs w:val="24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4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252"/>
        <w:gridCol w:w="2247"/>
        <w:gridCol w:w="2124"/>
        <w:gridCol w:w="580"/>
        <w:gridCol w:w="1544"/>
      </w:tblGrid>
      <w:tr>
        <w:tblPrEx/>
        <w:trPr>
          <w:cantSplit/>
        </w:trPr>
        <w:tc>
          <w:tcPr>
            <w:shd w:val="clear" w:color="ffffff" w:fill="ffffff"/>
            <w:tcW w:w="4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9</w:t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W w:w="2871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систем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видеонаблюдения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домовой территории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камера напра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51 779,71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W w:w="245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камера поворо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127 655,65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shd w:val="clear" w:color="ffffff" w:fill="ffffff"/>
            <w:tcW w:w="37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shd w:val="clear" w:color="ffffff" w:fill="ffffff"/>
            <w:tcW w:w="2458" w:type="dxa"/>
            <w:vMerge w:val="continue"/>
            <w:textDirection w:val="lrTb"/>
            <w:noWrap w:val="false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  <w:r>
              <w:rPr>
                <w:sz w:val="28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коммутатор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63 099,16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4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8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камеры и коммутатора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56 193,11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W w:w="3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4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8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непредвиденные затраты при об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стройстве систем видеонаблюд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 придомовой территории мн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18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2 %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сметной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мости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вида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17.04.2025 № 266</w:t>
      </w:r>
      <w:r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2"/>
        <w:spacing w:line="240" w:lineRule="exact"/>
        <w:rPr>
          <w:rFonts w:ascii="Times New Roman" w:hAnsi="Times New Roman"/>
          <w:caps/>
          <w:sz w:val="28"/>
          <w:szCs w:val="28"/>
          <w:highlight w:val="white"/>
        </w:rPr>
      </w:pPr>
      <w:r>
        <w:rPr>
          <w:rFonts w:ascii="Times New Roman" w:hAnsi="Times New Roman"/>
          <w:caps/>
          <w:sz w:val="28"/>
          <w:szCs w:val="28"/>
          <w:highlight w:val="white"/>
        </w:rPr>
      </w:r>
      <w:r>
        <w:rPr>
          <w:rFonts w:ascii="Times New Roman" w:hAnsi="Times New Roman"/>
          <w:caps/>
          <w:sz w:val="28"/>
          <w:szCs w:val="28"/>
          <w:highlight w:val="white"/>
        </w:rPr>
      </w:r>
      <w:r>
        <w:rPr>
          <w:rFonts w:ascii="Times New Roman" w:hAnsi="Times New Roman"/>
          <w:caps/>
          <w:sz w:val="28"/>
          <w:szCs w:val="28"/>
          <w:highlight w:val="white"/>
        </w:rPr>
      </w:r>
    </w:p>
    <w:p>
      <w:pPr>
        <w:pStyle w:val="982"/>
        <w:spacing w:line="240" w:lineRule="exact"/>
        <w:rPr>
          <w:rFonts w:ascii="Times New Roman" w:hAnsi="Times New Roman"/>
          <w:caps/>
          <w:sz w:val="28"/>
          <w:szCs w:val="28"/>
          <w:highlight w:val="white"/>
        </w:rPr>
      </w:pPr>
      <w:r>
        <w:rPr>
          <w:rFonts w:ascii="Times New Roman" w:hAnsi="Times New Roman"/>
          <w:caps/>
          <w:sz w:val="28"/>
          <w:szCs w:val="28"/>
          <w:highlight w:val="white"/>
        </w:rPr>
      </w:r>
      <w:r>
        <w:rPr>
          <w:rFonts w:ascii="Times New Roman" w:hAnsi="Times New Roman"/>
          <w:caps/>
          <w:sz w:val="28"/>
          <w:szCs w:val="28"/>
          <w:highlight w:val="white"/>
        </w:rPr>
      </w:r>
      <w:r>
        <w:rPr>
          <w:rFonts w:ascii="Times New Roman" w:hAnsi="Times New Roman"/>
          <w:cap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Порядок </w:t>
      </w:r>
      <w:r>
        <w:rPr>
          <w:b/>
          <w:bCs/>
          <w:sz w:val="28"/>
          <w:szCs w:val="28"/>
          <w:highlight w:val="white"/>
        </w:rPr>
        <w:t xml:space="preserve">отбора получателей субсидий на благоустройство придомовых территорий многоквартирных домов города Перми, утвержденный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пост</w:t>
      </w:r>
      <w:r>
        <w:rPr>
          <w:b/>
          <w:bCs/>
          <w:sz w:val="28"/>
          <w:szCs w:val="28"/>
          <w:highlight w:val="white"/>
        </w:rPr>
        <w:t xml:space="preserve">а</w:t>
      </w:r>
      <w:r>
        <w:rPr>
          <w:b/>
          <w:bCs/>
          <w:sz w:val="28"/>
          <w:szCs w:val="28"/>
          <w:highlight w:val="white"/>
        </w:rPr>
        <w:t xml:space="preserve">новлением администрации города Перми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от 31 августа 2012 г. № 511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пункте 3.2: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абзаце одиннадцатом слова «категориям и 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итериям» заменить сл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вами «категориям получателей субсидии и критериям оценки заявок»;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абзаце двенадцатом слова «не предусматривается» заменить словами «в соответствии с пунктами 5.14, 5.15 настоящего Порядка».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пунктом 3.6 следующего со</w:t>
      </w:r>
      <w:r>
        <w:rPr>
          <w:sz w:val="28"/>
          <w:szCs w:val="28"/>
        </w:rPr>
        <w:t xml:space="preserve">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Внесение изменений в объявление о проведении отбора осуществляе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не позднее наступления </w:t>
      </w:r>
      <w:r>
        <w:rPr>
          <w:sz w:val="28"/>
          <w:szCs w:val="28"/>
        </w:rPr>
        <w:t xml:space="preserve">даты окончания приема заявок участников отбора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субсидий</w:t>
      </w:r>
      <w:r>
        <w:rPr>
          <w:sz w:val="28"/>
          <w:szCs w:val="28"/>
        </w:rPr>
        <w:t xml:space="preserve"> с соблюдением следующих условий: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участниками отбора заявок должен быть</w:t>
      </w:r>
      <w:r>
        <w:rPr>
          <w:sz w:val="28"/>
          <w:szCs w:val="28"/>
        </w:rPr>
        <w:t xml:space="preserve"> продлен таким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зом, чтобы со дня, следующего за днем внесения таких изменений, до даты око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чания приема заявок указанный срок составлял не менее 10 календарных дней;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объявление о проведении отбора получателей субсидий изменение</w:t>
      </w:r>
      <w:r>
        <w:rPr>
          <w:sz w:val="28"/>
          <w:szCs w:val="28"/>
        </w:rPr>
        <w:t xml:space="preserve"> способа отбора получателей субсидий не допускается;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объявление о проведении отбора получат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субсидий после наступления даты начала приема заявок в объявление о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 отбора получателей субсидий включается положение, п</w:t>
      </w:r>
      <w:r>
        <w:rPr>
          <w:sz w:val="28"/>
          <w:szCs w:val="28"/>
        </w:rPr>
        <w:t xml:space="preserve">редусматрива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щее право участников отбора получателей субсидий внести изменения в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получателей субсидий, подавшие заявку, уведомляются </w:t>
      </w:r>
      <w:r>
        <w:rPr>
          <w:sz w:val="28"/>
          <w:szCs w:val="28"/>
        </w:rPr>
        <w:br/>
        <w:t xml:space="preserve">о внесении изменений в объявление о проведении отбора получателей субсидий не позднее дня, следую</w:t>
      </w:r>
      <w:r>
        <w:rPr>
          <w:sz w:val="28"/>
          <w:szCs w:val="28"/>
        </w:rPr>
        <w:t xml:space="preserve">щего за днем внесения изменений в объявление о провед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отбора получателей субсидий, с использованием системы «Электронный бюджет»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В абзаце двадцатом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пункта 5.8 слово «значение» заменить словом «зн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чения», слова «соответствующего пункту 2.5» замени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ть словами «соответству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щие пункту 2.8»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Дополнить пунктами 5.14, 5.15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5.14. В случае выявления Территориальным органом основания для во</w:t>
      </w:r>
      <w:r>
        <w:rPr>
          <w:color w:val="000000"/>
          <w:sz w:val="28"/>
          <w:szCs w:val="28"/>
          <w:highlight w:val="white"/>
        </w:rPr>
        <w:t xml:space="preserve">з</w:t>
      </w:r>
      <w:r>
        <w:rPr>
          <w:color w:val="000000"/>
          <w:sz w:val="28"/>
          <w:szCs w:val="28"/>
          <w:highlight w:val="white"/>
        </w:rPr>
        <w:t xml:space="preserve">врата заявки на доработку такая заявка не позднее 3 рабочих дней </w:t>
      </w:r>
      <w:r>
        <w:rPr>
          <w:color w:val="000000"/>
          <w:sz w:val="28"/>
          <w:szCs w:val="28"/>
          <w:highlight w:val="white"/>
        </w:rPr>
        <w:t xml:space="preserve">до окончания срока рассмотрения заявок возвращается на доработку участнику отбора по сл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дующим основаниям: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5.14.1. 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5.14.2. несоо</w:t>
      </w:r>
      <w:r>
        <w:rPr>
          <w:color w:val="000000"/>
          <w:sz w:val="28"/>
          <w:szCs w:val="28"/>
          <w:highlight w:val="white"/>
        </w:rPr>
        <w:t xml:space="preserve">тветствие представленных документов и (или) заявки требов</w:t>
      </w: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ниям, установленным в объявлении о проведении отбора получателей субсидии.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5.15. Решения Территориального органа о возврате заявок участникам отб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ра на доработку принимаются в равной мере ко всем уч</w:t>
      </w:r>
      <w:r>
        <w:rPr>
          <w:color w:val="000000"/>
          <w:sz w:val="28"/>
          <w:szCs w:val="28"/>
          <w:highlight w:val="white"/>
        </w:rPr>
        <w:t xml:space="preserve">астникам отбора при ра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смотрении заявок, в которых выявлены основания для их возврата на доработку. Указанные решения доводятся до сведения участников отбора с использованием системы «Электронный бюджет» в течение 1 рабочего дня со дня их принятия </w:t>
        <w:br/>
        <w:t xml:space="preserve">с указан</w:t>
      </w:r>
      <w:r>
        <w:rPr>
          <w:color w:val="000000"/>
          <w:sz w:val="28"/>
          <w:szCs w:val="28"/>
          <w:highlight w:val="white"/>
        </w:rPr>
        <w:t xml:space="preserve">ием оснований для возврата заявки на доработку, а также положений зая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ки, нуждающихся в доработке.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случае если участник отбора н</w:t>
      </w:r>
      <w:r>
        <w:rPr>
          <w:color w:val="000000"/>
          <w:sz w:val="28"/>
          <w:szCs w:val="28"/>
          <w:highlight w:val="white"/>
        </w:rPr>
        <w:t xml:space="preserve">е направил Территориальному органу д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работанную заявку в срок, установленный абзацем вторым настоящего пункта, Территориальный орган отклоняет заявку в соответствии с пунктом 6.6 настоящ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го Порядка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Раздел 6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82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b/>
          <w:color w:val="000000"/>
          <w:sz w:val="28"/>
          <w:szCs w:val="28"/>
        </w:rPr>
        <w:t xml:space="preserve">VI. Порядок рассмотрения и оценки заявок, а также</w:t>
      </w:r>
      <w:r>
        <w:rPr>
          <w:b/>
          <w:color w:val="000000"/>
          <w:sz w:val="28"/>
          <w:szCs w:val="28"/>
        </w:rPr>
        <w:br/>
        <w:t xml:space="preserve">определения победителей отбора получателей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6.1. Председатель Комиссии не позднее 1 рабочего дня, следующего за днем истечения срока подачи заявок, установленного в объявлении о проведении отб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ра п</w:t>
      </w:r>
      <w:r>
        <w:rPr>
          <w:sz w:val="28"/>
          <w:szCs w:val="28"/>
          <w:highlight w:val="white"/>
        </w:rPr>
        <w:t xml:space="preserve">олучателей субсидии, подписывает протокол вскрытия заявок, содержащий следующую информацию о поступивших для участия в отборе получателей су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сидии заявках: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регистрационный номер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дата и время поступления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полное наименование участника отбора </w:t>
      </w:r>
      <w:r>
        <w:rPr>
          <w:sz w:val="28"/>
          <w:szCs w:val="28"/>
          <w:highlight w:val="white"/>
        </w:rPr>
        <w:t xml:space="preserve">получателей субсидии (для юрид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ческих лиц) или фамилия, имя, отчество (при наличии) (для физических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адрес юридического лица, адрес регистрации (для физических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6.2. Протокол в</w:t>
      </w:r>
      <w:r>
        <w:rPr>
          <w:sz w:val="28"/>
          <w:szCs w:val="28"/>
          <w:highlight w:val="white"/>
        </w:rPr>
        <w:t xml:space="preserve">скрытия заявок, автоматически сформированный на едином портале,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не позднее </w:t>
      </w:r>
      <w:r>
        <w:rPr>
          <w:sz w:val="28"/>
          <w:szCs w:val="28"/>
          <w:highlight w:val="white"/>
        </w:rPr>
        <w:t xml:space="preserve">1 рабочего дня, сл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6.3. Доступ Комиссии к поданным участниками отбора получателей субс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дий заявкам для рассмотрения и оценки открывается не позднее 1 рабочего дня, следующего за днем окончания срока подачи заявок, установлен</w:t>
      </w:r>
      <w:r>
        <w:rPr>
          <w:sz w:val="28"/>
          <w:szCs w:val="28"/>
          <w:highlight w:val="white"/>
        </w:rPr>
        <w:t xml:space="preserve">ного в объявл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нии о проведении отбора получателей субсидии, в системе «Электронный бю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жет».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Рассмотрение заявок Комиссией осуществляется в течение 10 рабочих дней со дня, следующего за днем окончания срока подачи заявок, установленного </w:t>
        <w:br/>
        <w:t xml:space="preserve">в объявлении о пров</w:t>
      </w:r>
      <w:r>
        <w:rPr>
          <w:sz w:val="28"/>
          <w:szCs w:val="28"/>
          <w:highlight w:val="white"/>
        </w:rPr>
        <w:t xml:space="preserve">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сутствии оснований для отклонения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 соответствии заявки требованиям, указанным в объявлении </w:t>
        <w:br/>
        <w:t xml:space="preserve">о проведении отбора получателей субсидии, принимается Комиссией на дату пол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чения результатов проверки представленных участником отбора получателей су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сидии информации и документов, поданных</w:t>
      </w:r>
      <w:r>
        <w:rPr>
          <w:sz w:val="28"/>
          <w:szCs w:val="28"/>
          <w:highlight w:val="white"/>
        </w:rPr>
        <w:t xml:space="preserve"> в составе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6.5. Заявка отклоняется в случае наличия оснований для отклонения заявки, предусмотренных пунктами 6.6, 6.12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6.6. На стадии рассмотрения заявки основаниями для отклонения заявки я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</w:t>
      </w:r>
      <w:r>
        <w:rPr>
          <w:sz w:val="28"/>
          <w:szCs w:val="28"/>
          <w:highlight w:val="white"/>
        </w:rPr>
        <w:t xml:space="preserve">ра получателей субсидии требованиям, ук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занным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непредставление (представление не в полном объеме) документов, указа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ных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</w:t>
      </w:r>
      <w:r>
        <w:rPr>
          <w:sz w:val="28"/>
          <w:szCs w:val="28"/>
          <w:highlight w:val="white"/>
        </w:rPr>
        <w:t xml:space="preserve">ных документов и (или) заявки требованиям, установленным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ных в составе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подача участником отбора заявки после даты и времени, оп</w:t>
      </w:r>
      <w:r>
        <w:rPr>
          <w:sz w:val="28"/>
          <w:szCs w:val="28"/>
          <w:highlight w:val="white"/>
        </w:rPr>
        <w:t xml:space="preserve">ределенных для подачи заявок.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6.7. </w:t>
      </w:r>
      <w:r>
        <w:rPr>
          <w:sz w:val="28"/>
          <w:szCs w:val="28"/>
          <w:highlight w:val="white"/>
        </w:rPr>
        <w:t xml:space="preserve">По результатам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</w:t>
      </w:r>
      <w:r>
        <w:rPr>
          <w:sz w:val="28"/>
          <w:szCs w:val="28"/>
          <w:highlight w:val="white"/>
        </w:rPr>
        <w:t xml:space="preserve">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6.8. Протокол рассмотрения заявок формируется на едином портале автом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тически на основании результатов рассмотрения заявок и подписывается усиле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ной квалифицированной электронной подписью председателя Комиссии (упо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номоченного им лица) в системе «Электронн</w:t>
      </w:r>
      <w:r>
        <w:rPr>
          <w:sz w:val="28"/>
          <w:szCs w:val="28"/>
          <w:highlight w:val="white"/>
        </w:rPr>
        <w:t xml:space="preserve">ый бюджет», а также размещается </w:t>
        <w:br/>
        <w:t xml:space="preserve">на едином портале не позднее 1 рабочего дня, следующего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6.9. Комиссия приступает к оценке заявок не позднее 1 рабочего дня со дня подписания протокола рассмотрения заявок.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Оценка заявок Комиссией осу</w:t>
      </w:r>
      <w:r>
        <w:rPr>
          <w:sz w:val="28"/>
          <w:szCs w:val="28"/>
          <w:highlight w:val="white"/>
        </w:rPr>
        <w:t xml:space="preserve">ществляется в течение 10 рабочих дней </w:t>
        <w:br/>
        <w:t xml:space="preserve">со дня, следующего за днем окончания срока рассмотрения заявок, установленного в объявлении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Ранжирование поступивших заявок и присвоение им поряд</w:t>
      </w:r>
      <w:r>
        <w:rPr>
          <w:sz w:val="28"/>
          <w:szCs w:val="28"/>
          <w:highlight w:val="white"/>
        </w:rPr>
        <w:t xml:space="preserve">ковых номеров осуществляются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6.10. В целях оценки заявок Комиссией используются критерии, устано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ленные в приложе</w:t>
      </w:r>
      <w:r>
        <w:rPr>
          <w:sz w:val="28"/>
          <w:szCs w:val="28"/>
          <w:highlight w:val="white"/>
        </w:rPr>
        <w:t xml:space="preserve">нии к настоящему Порядку.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Сумма максимального балла всех применяемых критериев оценки составл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ет 100 баллов, минимальный проходной балл составляет 5 баллов при обязател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ном наличии баллов за критерий в соответствии со строкой 1 приложения к настоящему Поря</w:t>
      </w:r>
      <w:r>
        <w:rPr>
          <w:sz w:val="28"/>
          <w:szCs w:val="28"/>
          <w:highlight w:val="white"/>
        </w:rPr>
        <w:t xml:space="preserve">дку. Отсутствие баллов за критерий в соответствии со строкой 1 приложения к настоящему Порядку является основанием для отклонения заявки на стадии рассмотрения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Сумма величин значимости всех применяемых критериев оценки составляет 100 процентов.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Ве</w:t>
      </w:r>
      <w:r>
        <w:rPr>
          <w:sz w:val="28"/>
          <w:szCs w:val="28"/>
          <w:highlight w:val="white"/>
        </w:rPr>
        <w:t xml:space="preserve">совое значение критериев оценки устанавливается автоматически в об</w:t>
      </w:r>
      <w:r>
        <w:rPr>
          <w:sz w:val="28"/>
          <w:szCs w:val="28"/>
          <w:highlight w:val="white"/>
        </w:rPr>
        <w:t xml:space="preserve">ъ</w:t>
      </w:r>
      <w:r>
        <w:rPr>
          <w:sz w:val="28"/>
          <w:szCs w:val="28"/>
          <w:highlight w:val="white"/>
        </w:rPr>
        <w:t xml:space="preserve">явлении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6.11. </w:t>
      </w:r>
      <w:r>
        <w:rPr>
          <w:sz w:val="28"/>
          <w:szCs w:val="28"/>
          <w:highlight w:val="white"/>
        </w:rPr>
        <w:t xml:space="preserve">Победителем отбора получателей субсидии признается участник отб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ра получателей субсидии, набравший бол</w:t>
      </w:r>
      <w:r>
        <w:rPr>
          <w:sz w:val="28"/>
          <w:szCs w:val="28"/>
          <w:highlight w:val="white"/>
        </w:rPr>
        <w:t xml:space="preserve">ьший или равный минимальному баллу </w:t>
        <w:br/>
        <w:t xml:space="preserve">в соответствии с пунктом 6.10 настоящего Порядка, включенный в рейтинг, сфо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мированный Комиссией по результатам ранжирования поступивших заявок, </w:t>
        <w:br/>
        <w:t xml:space="preserve">и в пределах объема распределяемой субсидии, указанного в объявлении о прове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нии отбора получателей субсидии в соответствии с абзацем пятнадцатым пункта 3.2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6.12. На стадии оценки заявок основаниями для отклонения заявки являю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занным в об</w:t>
      </w:r>
      <w:r>
        <w:rPr>
          <w:sz w:val="28"/>
          <w:szCs w:val="28"/>
          <w:highlight w:val="white"/>
        </w:rPr>
        <w:t xml:space="preserve">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ных в составе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6.13. Субсидия, распределяемая в рамках отбора получателей субсидии, распределяется между участниками отбора получате</w:t>
      </w:r>
      <w:r>
        <w:rPr>
          <w:sz w:val="28"/>
          <w:szCs w:val="28"/>
          <w:highlight w:val="white"/>
        </w:rPr>
        <w:t xml:space="preserve">лей субсидии, включенными </w:t>
        <w:br/>
        <w:t xml:space="preserve">в рейтинг, предусмотренный пунктом 6.11 настоящего Порядка, в размере субс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дии, </w:t>
      </w:r>
      <w:r>
        <w:rPr>
          <w:sz w:val="28"/>
          <w:szCs w:val="28"/>
          <w:highlight w:val="white"/>
        </w:rPr>
        <w:t xml:space="preserve">указанной</w:t>
      </w:r>
      <w:r>
        <w:rPr>
          <w:sz w:val="28"/>
          <w:szCs w:val="28"/>
          <w:highlight w:val="white"/>
        </w:rPr>
        <w:t xml:space="preserve"> в заявке.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6.14. Участник отбора получателей субсидии, набравший по результатам оценки поданных участниками отбора получателей субсидии з</w:t>
      </w:r>
      <w:r>
        <w:rPr>
          <w:sz w:val="28"/>
          <w:szCs w:val="28"/>
          <w:highlight w:val="white"/>
        </w:rPr>
        <w:t xml:space="preserve">аявок балл мен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ший, чем установленный в объявлении о проведении отбора получателей субс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дии минимальный проходной балл, не признается победителем отбора получат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лей субсидии в соответствии с пунктом 6.11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6.15. </w:t>
      </w:r>
      <w:r>
        <w:rPr>
          <w:sz w:val="28"/>
          <w:szCs w:val="28"/>
          <w:highlight w:val="white"/>
        </w:rPr>
        <w:t xml:space="preserve">В целях завершения отбора </w:t>
      </w:r>
      <w:r>
        <w:rPr>
          <w:sz w:val="28"/>
          <w:szCs w:val="28"/>
          <w:highlight w:val="white"/>
        </w:rPr>
        <w:t xml:space="preserve">получателей субсидии и определения 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бедителей отбора получателей субсидии формируется протокол подведения ит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гов отбора получателей субсидии, включающий информацию о количестве набранных участником отбора получателей субсидии баллов по каждому крит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рию оц</w:t>
      </w:r>
      <w:r>
        <w:rPr>
          <w:sz w:val="28"/>
          <w:szCs w:val="28"/>
          <w:highlight w:val="white"/>
        </w:rPr>
        <w:t xml:space="preserve">енки, об общем количестве набранных баллов по результатам оценки з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явок или единственной заявки, о победителях отбора получателей субсидии с ук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занием размера субсидии, предусмотренной для предоставления, об отклон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нии</w:t>
      </w:r>
      <w:r>
        <w:rPr>
          <w:sz w:val="28"/>
          <w:szCs w:val="28"/>
          <w:highlight w:val="white"/>
        </w:rPr>
        <w:t xml:space="preserve"> заявок с указанием оснований для и</w:t>
      </w:r>
      <w:r>
        <w:rPr>
          <w:sz w:val="28"/>
          <w:szCs w:val="28"/>
          <w:highlight w:val="white"/>
        </w:rPr>
        <w:t xml:space="preserve">х отклонения.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6.16. </w:t>
      </w:r>
      <w:r>
        <w:rPr>
          <w:sz w:val="28"/>
          <w:szCs w:val="28"/>
          <w:highlight w:val="white"/>
        </w:rPr>
        <w:t xml:space="preserve">Протокол подведения итогов отбора получателей субсидии формир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ется на едином портале автоматически на основании результатов определения 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бедителей отбора получателей субсидии и подписывается усиленной квалифиц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рованной электронной подп</w:t>
      </w:r>
      <w:r>
        <w:rPr>
          <w:sz w:val="28"/>
          <w:szCs w:val="28"/>
          <w:highlight w:val="white"/>
        </w:rPr>
        <w:t xml:space="preserve">исью председателя Комиссии (уполномоченного им </w:t>
      </w:r>
      <w:r>
        <w:rPr>
          <w:sz w:val="28"/>
          <w:szCs w:val="28"/>
          <w:highlight w:val="white"/>
        </w:rPr>
        <w:t xml:space="preserve">лица) в системе «Электронный бюджет», а также размещается на едином портале, на официальном сайте Территориального органа в сети Интернет не позднее 1 р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бочего дня, следующего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6.17. Вне</w:t>
      </w:r>
      <w:r>
        <w:rPr>
          <w:sz w:val="28"/>
          <w:szCs w:val="28"/>
          <w:highlight w:val="white"/>
        </w:rPr>
        <w:t xml:space="preserve">сение изменений в протокол рассмотрения заявок и протокол по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ведения итогов отбора осуществляется не позднее 10 календарных дней со дня </w:t>
      </w:r>
      <w:r>
        <w:rPr>
          <w:sz w:val="28"/>
          <w:szCs w:val="28"/>
          <w:highlight w:val="white"/>
        </w:rPr>
        <w:t xml:space="preserve">подписания первых версий протокола рассмотрения заявок</w:t>
      </w:r>
      <w:r>
        <w:rPr>
          <w:sz w:val="28"/>
          <w:szCs w:val="28"/>
          <w:highlight w:val="white"/>
        </w:rPr>
        <w:t xml:space="preserve"> и протокола подвед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ния итогов отбора путем формирования новых вер</w:t>
      </w:r>
      <w:r>
        <w:rPr>
          <w:sz w:val="28"/>
          <w:szCs w:val="28"/>
          <w:highlight w:val="white"/>
        </w:rPr>
        <w:t xml:space="preserve">сий указанных протоколов </w:t>
        <w:br/>
        <w:t xml:space="preserve">с указанием причин внесения изменений.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6.18. </w:t>
      </w:r>
      <w:r>
        <w:rPr>
          <w:sz w:val="28"/>
          <w:szCs w:val="28"/>
          <w:highlight w:val="white"/>
        </w:rPr>
        <w:t xml:space="preserve">В случае если в целях полного, всестороннего и объективного ра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смотрения или рассмотрения и оценки заявки необходимо получение информации </w:t>
        <w:br/>
        <w:t xml:space="preserve">и документов от участника отбора получателей суб</w:t>
      </w:r>
      <w:r>
        <w:rPr>
          <w:sz w:val="28"/>
          <w:szCs w:val="28"/>
          <w:highlight w:val="white"/>
        </w:rPr>
        <w:t xml:space="preserve">сидии для разъяснений </w:t>
        <w:br/>
        <w:t xml:space="preserve">по представленным им документам и информации, Комиссией осуществляется з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прос у участника отбора получателей субсидии разъяснения в отношении док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ментов и информации с использованием системы «Электронный бюджет», направляемый при необ</w:t>
      </w:r>
      <w:r>
        <w:rPr>
          <w:sz w:val="28"/>
          <w:szCs w:val="28"/>
          <w:highlight w:val="white"/>
        </w:rPr>
        <w:t xml:space="preserve">ходимости в равной мере всем участникам</w:t>
      </w:r>
      <w:r>
        <w:rPr>
          <w:sz w:val="28"/>
          <w:szCs w:val="28"/>
          <w:highlight w:val="white"/>
        </w:rPr>
        <w:t xml:space="preserve"> отбора получ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телей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6.19. В запросе, указанном в пункте 6.18 настоящего Порядка, Комиссия устанавливает срок представления участником отбора получателей субсидии разъяснения в отношении документов и информац</w:t>
      </w:r>
      <w:r>
        <w:rPr>
          <w:sz w:val="28"/>
          <w:szCs w:val="28"/>
          <w:highlight w:val="white"/>
        </w:rPr>
        <w:t xml:space="preserve">ии, который должен составлять не менее 2 рабочих дней со дня, следующего за днем размещения соответству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щего запроса.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6.20. Участник отбора получателей субсидии формирует и представляет </w:t>
        <w:br/>
        <w:t xml:space="preserve">в систему «Электронный бюджет» информацию и документы, запрашиваемые в</w:t>
      </w:r>
      <w:r>
        <w:rPr>
          <w:sz w:val="28"/>
          <w:szCs w:val="28"/>
          <w:highlight w:val="white"/>
        </w:rPr>
        <w:t xml:space="preserve"> с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ответствии с пунктом 6.18 настоящего Порядка, в сроки, установленные соотве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ствующим запросом с учетом положений пункта 6.19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6.21. </w:t>
      </w:r>
      <w:r>
        <w:rPr>
          <w:sz w:val="28"/>
          <w:szCs w:val="28"/>
          <w:highlight w:val="white"/>
        </w:rPr>
        <w:t xml:space="preserve">В случае если участник отбора получателей субсидии в ответ на з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прос, указанный в пункте 6.18 настояще</w:t>
      </w:r>
      <w:r>
        <w:rPr>
          <w:sz w:val="28"/>
          <w:szCs w:val="28"/>
          <w:highlight w:val="white"/>
        </w:rPr>
        <w:t xml:space="preserve">го Порядка, не представил запрашива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мые документы и информацию в срок, установленный соответствующим запр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сом с учетом положений пункта 6.19 настоящего Порядка, информация об этом включается в протокол рассмотрения заявок, предусмотренный пунктом 6.8 насто</w:t>
      </w:r>
      <w:r>
        <w:rPr>
          <w:sz w:val="28"/>
          <w:szCs w:val="28"/>
          <w:highlight w:val="white"/>
        </w:rPr>
        <w:t xml:space="preserve">ящего Порядка, или в протокол подведения итогов отбора получателей су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сидии, предусмотренный пунктом 6.15 настоящего</w:t>
      </w:r>
      <w:r>
        <w:rPr>
          <w:sz w:val="28"/>
          <w:szCs w:val="28"/>
          <w:highlight w:val="white"/>
        </w:rPr>
        <w:t xml:space="preserve">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6.22. Отбор получателей субсидии признается несостоявшимся в следу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подана только одн</w:t>
      </w:r>
      <w:r>
        <w:rPr>
          <w:sz w:val="28"/>
          <w:szCs w:val="28"/>
          <w:highlight w:val="white"/>
        </w:rPr>
        <w:t xml:space="preserve">а заявка;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бованиям, установленным в объявлении о проведении отбора получателей субс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о</w:t>
      </w:r>
      <w:r>
        <w:rPr>
          <w:sz w:val="28"/>
          <w:szCs w:val="28"/>
          <w:highlight w:val="white"/>
        </w:rPr>
        <w:t xml:space="preserve">тклонены все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оценки заявок ни одна из заявок не набрала балл больший или равный установленному в объявлении о проведении отбора получателей су</w:t>
      </w:r>
      <w:r>
        <w:rPr>
          <w:sz w:val="28"/>
          <w:szCs w:val="28"/>
          <w:highlight w:val="white"/>
        </w:rPr>
        <w:t xml:space="preserve">б</w:t>
      </w:r>
      <w:r>
        <w:rPr>
          <w:sz w:val="28"/>
          <w:szCs w:val="28"/>
          <w:highlight w:val="white"/>
        </w:rPr>
        <w:t xml:space="preserve">сидии минимальному проходному баллу.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6.23. Договор заключается с участником отбора получат</w:t>
      </w:r>
      <w:r>
        <w:rPr>
          <w:sz w:val="28"/>
          <w:szCs w:val="28"/>
          <w:highlight w:val="white"/>
        </w:rPr>
        <w:t xml:space="preserve">елей субсидии, пр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знанного несостоявшимся, в случае, если по результатам рассмотрения и оценки </w:t>
      </w:r>
      <w:r>
        <w:rPr>
          <w:sz w:val="28"/>
          <w:szCs w:val="28"/>
          <w:highlight w:val="white"/>
        </w:rPr>
        <w:t xml:space="preserve">заявок единственная заявка признана соответствующей требованиям, установле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ным в объявлении о проведении отбора получателей субсидии, и такой заявке присвоен бал</w:t>
      </w:r>
      <w:r>
        <w:rPr>
          <w:sz w:val="28"/>
          <w:szCs w:val="28"/>
          <w:highlight w:val="white"/>
        </w:rPr>
        <w:t xml:space="preserve">л больший или равный установленному в объявлении о проведении отбора получателей субсидии минимальному проходному баллу</w:t>
      </w:r>
      <w:r>
        <w:rPr>
          <w:sz w:val="28"/>
          <w:szCs w:val="28"/>
          <w:highlight w:val="white"/>
        </w:rPr>
        <w:t xml:space="preserve">.».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6. Пункт 7.5 дополнить словами «, с учетом пункта 3.4 настоящего Поря</w:t>
      </w:r>
      <w:r>
        <w:rPr>
          <w:color w:val="000000"/>
          <w:sz w:val="28"/>
        </w:rPr>
        <w:t xml:space="preserve">д</w:t>
      </w:r>
      <w:r>
        <w:rPr>
          <w:color w:val="000000"/>
          <w:sz w:val="28"/>
        </w:rPr>
        <w:t xml:space="preserve">ка».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</w:rPr>
        <w:t xml:space="preserve">7. В приложении в графе 2 строки 6 слова «</w:t>
      </w:r>
      <w:r>
        <w:rPr>
          <w:color w:val="000000"/>
          <w:sz w:val="28"/>
        </w:rPr>
        <w:t xml:space="preserve">графические рисунки в неустановленных местах» заменить словами «надписи, графические рисунки и иные изображения, нанесенные с нарушением </w:t>
      </w:r>
      <w:r>
        <w:rPr>
          <w:color w:val="000000"/>
          <w:sz w:val="28"/>
        </w:rPr>
        <w:t xml:space="preserve">требований Правил благоустройства территории гор</w:t>
      </w:r>
      <w:r>
        <w:rPr>
          <w:color w:val="000000"/>
          <w:sz w:val="28"/>
        </w:rPr>
        <w:t xml:space="preserve">о</w:t>
      </w:r>
      <w:r>
        <w:rPr>
          <w:color w:val="000000"/>
          <w:sz w:val="28"/>
        </w:rPr>
        <w:t xml:space="preserve">да</w:t>
      </w:r>
      <w:r>
        <w:rPr>
          <w:color w:val="000000"/>
          <w:sz w:val="28"/>
        </w:rPr>
        <w:t xml:space="preserve"> Перми, утвержденных решением Пермской городской Думы </w:t>
        <w:br/>
        <w:t xml:space="preserve">от 15 декабря </w:t>
      </w:r>
      <w:r>
        <w:rPr>
          <w:color w:val="000000"/>
          <w:sz w:val="28"/>
        </w:rPr>
        <w:t xml:space="preserve">2020 г. № 277».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>
      <w:rPr>
        <w:rStyle w:val="897"/>
      </w:rPr>
    </w:r>
    <w:r>
      <w:rPr>
        <w:rStyle w:val="897"/>
      </w:rPr>
    </w:r>
  </w:p>
  <w:p>
    <w:pPr>
      <w:pStyle w:val="8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728"/>
    <w:link w:val="720"/>
    <w:uiPriority w:val="9"/>
    <w:rPr>
      <w:rFonts w:ascii="Arial" w:hAnsi="Arial" w:eastAsia="Arial" w:cs="Arial"/>
      <w:sz w:val="34"/>
    </w:rPr>
  </w:style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0"/>
    <w:uiPriority w:val="10"/>
    <w:rPr>
      <w:sz w:val="48"/>
      <w:szCs w:val="48"/>
    </w:rPr>
  </w:style>
  <w:style w:type="character" w:styleId="713">
    <w:name w:val="Subtitle Char"/>
    <w:basedOn w:val="728"/>
    <w:link w:val="742"/>
    <w:uiPriority w:val="11"/>
    <w:rPr>
      <w:sz w:val="24"/>
      <w:szCs w:val="24"/>
    </w:rPr>
  </w:style>
  <w:style w:type="character" w:styleId="714">
    <w:name w:val="Quote Char"/>
    <w:link w:val="744"/>
    <w:uiPriority w:val="29"/>
    <w:rPr>
      <w:i/>
    </w:rPr>
  </w:style>
  <w:style w:type="character" w:styleId="715">
    <w:name w:val="Intense Quote Char"/>
    <w:link w:val="746"/>
    <w:uiPriority w:val="30"/>
    <w:rPr>
      <w:i/>
    </w:rPr>
  </w:style>
  <w:style w:type="character" w:styleId="716">
    <w:name w:val="Footnote Text Char"/>
    <w:link w:val="876"/>
    <w:uiPriority w:val="99"/>
    <w:rPr>
      <w:sz w:val="18"/>
    </w:rPr>
  </w:style>
  <w:style w:type="character" w:styleId="717">
    <w:name w:val="Endnote Text Char"/>
    <w:link w:val="879"/>
    <w:uiPriority w:val="99"/>
    <w:rPr>
      <w:sz w:val="20"/>
    </w:rPr>
  </w:style>
  <w:style w:type="paragraph" w:styleId="718" w:default="1">
    <w:name w:val="Normal"/>
    <w:qFormat/>
  </w:style>
  <w:style w:type="paragraph" w:styleId="719">
    <w:name w:val="Heading 1"/>
    <w:basedOn w:val="718"/>
    <w:next w:val="718"/>
    <w:link w:val="731"/>
    <w:qFormat/>
    <w:pPr>
      <w:ind w:right="-1" w:firstLine="709"/>
      <w:jc w:val="both"/>
      <w:keepNext/>
      <w:outlineLvl w:val="0"/>
    </w:pPr>
    <w:rPr>
      <w:sz w:val="24"/>
    </w:rPr>
  </w:style>
  <w:style w:type="paragraph" w:styleId="720">
    <w:name w:val="Heading 2"/>
    <w:basedOn w:val="718"/>
    <w:next w:val="718"/>
    <w:link w:val="732"/>
    <w:qFormat/>
    <w:pPr>
      <w:ind w:right="-1"/>
      <w:jc w:val="both"/>
      <w:keepNext/>
      <w:outlineLvl w:val="1"/>
    </w:pPr>
    <w:rPr>
      <w:sz w:val="24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Заголовок 1 Знак"/>
    <w:basedOn w:val="728"/>
    <w:link w:val="719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Заголовок 2 Знак"/>
    <w:basedOn w:val="728"/>
    <w:link w:val="720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718"/>
    <w:next w:val="71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 w:customStyle="1">
    <w:name w:val="Название Знак"/>
    <w:basedOn w:val="728"/>
    <w:link w:val="740"/>
    <w:uiPriority w:val="10"/>
    <w:rPr>
      <w:sz w:val="48"/>
      <w:szCs w:val="48"/>
    </w:rPr>
  </w:style>
  <w:style w:type="paragraph" w:styleId="742">
    <w:name w:val="Subtitle"/>
    <w:basedOn w:val="718"/>
    <w:next w:val="71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 w:customStyle="1">
    <w:name w:val="Подзаголовок Знак"/>
    <w:basedOn w:val="728"/>
    <w:link w:val="742"/>
    <w:uiPriority w:val="11"/>
    <w:rPr>
      <w:sz w:val="24"/>
      <w:szCs w:val="24"/>
    </w:rPr>
  </w:style>
  <w:style w:type="paragraph" w:styleId="744">
    <w:name w:val="Quote"/>
    <w:basedOn w:val="718"/>
    <w:next w:val="71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8"/>
    <w:next w:val="71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8"/>
    <w:uiPriority w:val="99"/>
  </w:style>
  <w:style w:type="character" w:styleId="749" w:customStyle="1">
    <w:name w:val="Footer Char"/>
    <w:basedOn w:val="728"/>
    <w:uiPriority w:val="99"/>
  </w:style>
  <w:style w:type="character" w:styleId="750" w:customStyle="1">
    <w:name w:val="Caption Char"/>
    <w:uiPriority w:val="99"/>
  </w:style>
  <w:style w:type="table" w:styleId="751" w:customStyle="1">
    <w:name w:val="Table Grid Light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Plain Table 1"/>
    <w:basedOn w:val="72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2"/>
    <w:basedOn w:val="72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Plain Table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Plain Table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Plain Table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1 Light"/>
    <w:basedOn w:val="72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29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29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29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29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29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29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2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29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2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2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2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29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29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"/>
    <w:basedOn w:val="72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29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2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2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2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29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29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4"/>
    <w:basedOn w:val="72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29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729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729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729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729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729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Grid Table 5 Dark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7 Colorful"/>
    <w:basedOn w:val="72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29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29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29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29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29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29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2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2"/>
    <w:basedOn w:val="72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29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29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29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29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29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29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List Table 3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29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2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2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2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2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2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"/>
    <w:basedOn w:val="72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29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29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29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29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29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29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5 Dark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29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2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2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2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2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2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6 Colorful"/>
    <w:basedOn w:val="72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29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729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729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729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729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729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List Table 7 Colorful"/>
    <w:basedOn w:val="72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29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29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29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29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29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29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729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72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29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729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729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729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729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729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718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28"/>
    <w:uiPriority w:val="99"/>
    <w:unhideWhenUsed/>
    <w:rPr>
      <w:vertAlign w:val="superscript"/>
    </w:rPr>
  </w:style>
  <w:style w:type="paragraph" w:styleId="879">
    <w:name w:val="endnote text"/>
    <w:basedOn w:val="718"/>
    <w:link w:val="880"/>
    <w:uiPriority w:val="99"/>
    <w:semiHidden/>
    <w:unhideWhenUsed/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28"/>
    <w:uiPriority w:val="99"/>
    <w:semiHidden/>
    <w:unhideWhenUsed/>
    <w:rPr>
      <w:vertAlign w:val="superscript"/>
    </w:rPr>
  </w:style>
  <w:style w:type="paragraph" w:styleId="882">
    <w:name w:val="toc 1"/>
    <w:basedOn w:val="718"/>
    <w:next w:val="718"/>
    <w:uiPriority w:val="39"/>
    <w:unhideWhenUsed/>
    <w:pPr>
      <w:spacing w:after="57"/>
    </w:pPr>
  </w:style>
  <w:style w:type="paragraph" w:styleId="883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4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5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6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7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8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89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0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18"/>
    <w:next w:val="718"/>
    <w:uiPriority w:val="99"/>
    <w:unhideWhenUsed/>
  </w:style>
  <w:style w:type="paragraph" w:styleId="893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4">
    <w:name w:val="Body Text"/>
    <w:basedOn w:val="718"/>
    <w:link w:val="922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718"/>
    <w:pPr>
      <w:ind w:right="-1"/>
      <w:jc w:val="both"/>
    </w:pPr>
    <w:rPr>
      <w:sz w:val="26"/>
    </w:rPr>
  </w:style>
  <w:style w:type="paragraph" w:styleId="896">
    <w:name w:val="Footer"/>
    <w:basedOn w:val="718"/>
    <w:link w:val="981"/>
    <w:uiPriority w:val="99"/>
    <w:pPr>
      <w:tabs>
        <w:tab w:val="center" w:pos="4153" w:leader="none"/>
        <w:tab w:val="right" w:pos="8306" w:leader="none"/>
      </w:tabs>
    </w:pPr>
  </w:style>
  <w:style w:type="character" w:styleId="897">
    <w:name w:val="page number"/>
    <w:basedOn w:val="728"/>
  </w:style>
  <w:style w:type="paragraph" w:styleId="898">
    <w:name w:val="Header"/>
    <w:basedOn w:val="718"/>
    <w:link w:val="901"/>
    <w:uiPriority w:val="99"/>
    <w:pPr>
      <w:tabs>
        <w:tab w:val="center" w:pos="4153" w:leader="none"/>
        <w:tab w:val="right" w:pos="8306" w:leader="none"/>
      </w:tabs>
    </w:pPr>
  </w:style>
  <w:style w:type="paragraph" w:styleId="899">
    <w:name w:val="Balloon Text"/>
    <w:basedOn w:val="718"/>
    <w:link w:val="900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link w:val="899"/>
    <w:uiPriority w:val="99"/>
    <w:rPr>
      <w:rFonts w:ascii="Segoe UI" w:hAnsi="Segoe UI" w:cs="Segoe UI"/>
      <w:sz w:val="18"/>
      <w:szCs w:val="18"/>
    </w:rPr>
  </w:style>
  <w:style w:type="character" w:styleId="901" w:customStyle="1">
    <w:name w:val="Верхний колонтитул Знак"/>
    <w:link w:val="898"/>
    <w:uiPriority w:val="99"/>
  </w:style>
  <w:style w:type="numbering" w:styleId="902" w:customStyle="1">
    <w:name w:val="Нет списка1"/>
    <w:next w:val="730"/>
    <w:uiPriority w:val="99"/>
    <w:semiHidden/>
    <w:unhideWhenUsed/>
  </w:style>
  <w:style w:type="paragraph" w:styleId="90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4">
    <w:name w:val="Hyperlink"/>
    <w:uiPriority w:val="99"/>
    <w:unhideWhenUsed/>
    <w:rPr>
      <w:color w:val="0000ff"/>
      <w:u w:val="single"/>
    </w:rPr>
  </w:style>
  <w:style w:type="character" w:styleId="905">
    <w:name w:val="FollowedHyperlink"/>
    <w:uiPriority w:val="99"/>
    <w:unhideWhenUsed/>
    <w:rPr>
      <w:color w:val="800080"/>
      <w:u w:val="single"/>
    </w:rPr>
  </w:style>
  <w:style w:type="paragraph" w:styleId="906" w:customStyle="1">
    <w:name w:val="xl65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67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6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 w:customStyle="1">
    <w:name w:val="xl69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0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71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2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3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4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5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6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7"/>
    <w:basedOn w:val="71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8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9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Форма"/>
    <w:rPr>
      <w:sz w:val="28"/>
      <w:szCs w:val="28"/>
    </w:rPr>
  </w:style>
  <w:style w:type="character" w:styleId="922" w:customStyle="1">
    <w:name w:val="Основной текст Знак"/>
    <w:link w:val="894"/>
    <w:rPr>
      <w:rFonts w:ascii="Courier New" w:hAnsi="Courier New"/>
      <w:sz w:val="26"/>
    </w:rPr>
  </w:style>
  <w:style w:type="paragraph" w:styleId="923" w:customStyle="1">
    <w:name w:val="ConsPlusNormal"/>
    <w:rPr>
      <w:sz w:val="28"/>
      <w:szCs w:val="28"/>
    </w:rPr>
  </w:style>
  <w:style w:type="numbering" w:styleId="924" w:customStyle="1">
    <w:name w:val="Нет списка11"/>
    <w:next w:val="730"/>
    <w:uiPriority w:val="99"/>
    <w:semiHidden/>
    <w:unhideWhenUsed/>
  </w:style>
  <w:style w:type="numbering" w:styleId="925" w:customStyle="1">
    <w:name w:val="Нет списка111"/>
    <w:next w:val="730"/>
    <w:uiPriority w:val="99"/>
    <w:semiHidden/>
    <w:unhideWhenUsed/>
  </w:style>
  <w:style w:type="paragraph" w:styleId="926" w:customStyle="1">
    <w:name w:val="font5"/>
    <w:basedOn w:val="71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7" w:customStyle="1">
    <w:name w:val="xl8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1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9" w:customStyle="1">
    <w:name w:val="xl82"/>
    <w:basedOn w:val="71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0">
    <w:name w:val="Table Grid"/>
    <w:basedOn w:val="72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1" w:customStyle="1">
    <w:name w:val="xl8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8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 w:customStyle="1">
    <w:name w:val="xl89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0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1" w:customStyle="1">
    <w:name w:val="xl9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4"/>
    <w:basedOn w:val="71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8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7" w:customStyle="1">
    <w:name w:val="xl99"/>
    <w:basedOn w:val="71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10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1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2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6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7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8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9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0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1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2"/>
    <w:basedOn w:val="71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1" w:customStyle="1">
    <w:name w:val="xl113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4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5"/>
    <w:basedOn w:val="71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4" w:customStyle="1">
    <w:name w:val="xl116"/>
    <w:basedOn w:val="71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7"/>
    <w:basedOn w:val="71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8"/>
    <w:basedOn w:val="71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9"/>
    <w:basedOn w:val="71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20"/>
    <w:basedOn w:val="71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1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 w:customStyle="1">
    <w:name w:val="xl122"/>
    <w:basedOn w:val="71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3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4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5"/>
    <w:basedOn w:val="71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4" w:customStyle="1">
    <w:name w:val="Нет списка2"/>
    <w:next w:val="730"/>
    <w:uiPriority w:val="99"/>
    <w:semiHidden/>
    <w:unhideWhenUsed/>
  </w:style>
  <w:style w:type="numbering" w:styleId="975" w:customStyle="1">
    <w:name w:val="Нет списка3"/>
    <w:next w:val="730"/>
    <w:uiPriority w:val="99"/>
    <w:semiHidden/>
    <w:unhideWhenUsed/>
  </w:style>
  <w:style w:type="paragraph" w:styleId="976" w:customStyle="1">
    <w:name w:val="font6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7"/>
    <w:basedOn w:val="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8" w:customStyle="1">
    <w:name w:val="font8"/>
    <w:basedOn w:val="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9" w:customStyle="1">
    <w:name w:val="Нет списка4"/>
    <w:next w:val="730"/>
    <w:uiPriority w:val="99"/>
    <w:semiHidden/>
    <w:unhideWhenUsed/>
  </w:style>
  <w:style w:type="paragraph" w:styleId="980">
    <w:name w:val="List Paragraph"/>
    <w:basedOn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1" w:customStyle="1">
    <w:name w:val="Нижний колонтитул Знак"/>
    <w:link w:val="896"/>
    <w:uiPriority w:val="99"/>
  </w:style>
  <w:style w:type="paragraph" w:styleId="9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28</cp:revision>
  <dcterms:created xsi:type="dcterms:W3CDTF">2024-10-25T06:26:00Z</dcterms:created>
  <dcterms:modified xsi:type="dcterms:W3CDTF">2025-04-17T10:39:24Z</dcterms:modified>
</cp:coreProperties>
</file>