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274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274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2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02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02"/>
        <w:spacing w:line="240" w:lineRule="exact"/>
        <w:rPr>
          <w:b/>
          <w:bCs/>
        </w:rPr>
      </w:pPr>
      <w:r>
        <w:rPr>
          <w:b/>
        </w:rPr>
        <w:t xml:space="preserve">О внесении изменений</w:t>
      </w:r>
      <w:r>
        <w:rPr>
          <w:b/>
        </w:rPr>
        <w:br/>
        <w:t xml:space="preserve">в Порядок определения объема </w:t>
      </w:r>
      <w:r>
        <w:rPr>
          <w:b/>
          <w:bCs/>
        </w:rPr>
      </w:r>
    </w:p>
    <w:p>
      <w:pPr>
        <w:pStyle w:val="902"/>
        <w:spacing w:line="240" w:lineRule="exact"/>
        <w:rPr>
          <w:b/>
          <w:bCs/>
        </w:rPr>
      </w:pPr>
      <w:r>
        <w:rPr>
          <w:b/>
        </w:rPr>
        <w:t xml:space="preserve">и условий предоставления субсидий </w:t>
      </w:r>
      <w:r>
        <w:rPr>
          <w:b/>
          <w:bCs/>
        </w:rPr>
      </w:r>
    </w:p>
    <w:p>
      <w:pPr>
        <w:pStyle w:val="902"/>
        <w:spacing w:line="240" w:lineRule="exact"/>
        <w:rPr>
          <w:b/>
          <w:bCs/>
        </w:rPr>
      </w:pPr>
      <w:r>
        <w:rPr>
          <w:b/>
        </w:rPr>
        <w:t xml:space="preserve">на иные цели бюджетным </w:t>
      </w:r>
      <w:r>
        <w:rPr>
          <w:b/>
          <w:bCs/>
        </w:rPr>
      </w:r>
    </w:p>
    <w:p>
      <w:pPr>
        <w:pStyle w:val="902"/>
        <w:spacing w:line="240" w:lineRule="exact"/>
        <w:rPr>
          <w:b/>
          <w:bCs/>
        </w:rPr>
      </w:pPr>
      <w:r>
        <w:rPr>
          <w:b/>
        </w:rPr>
        <w:t xml:space="preserve">и автономным учреждениям, </w:t>
      </w:r>
      <w:r>
        <w:rPr>
          <w:b/>
          <w:bCs/>
        </w:rPr>
      </w:r>
    </w:p>
    <w:p>
      <w:pPr>
        <w:pStyle w:val="902"/>
        <w:spacing w:line="240" w:lineRule="exact"/>
        <w:rPr>
          <w:b/>
          <w:bCs/>
        </w:rPr>
      </w:pPr>
      <w:r>
        <w:rPr>
          <w:b/>
        </w:rPr>
        <w:t xml:space="preserve">подведомственным департаменту </w:t>
      </w:r>
      <w:r>
        <w:rPr>
          <w:b/>
          <w:bCs/>
        </w:rPr>
      </w:r>
    </w:p>
    <w:p>
      <w:pPr>
        <w:pStyle w:val="902"/>
        <w:spacing w:line="240" w:lineRule="exact"/>
        <w:rPr>
          <w:b/>
          <w:bCs/>
        </w:rPr>
      </w:pPr>
      <w:r>
        <w:rPr>
          <w:b/>
        </w:rPr>
        <w:t xml:space="preserve">образования администрации города </w:t>
      </w:r>
      <w:r>
        <w:rPr>
          <w:b/>
          <w:bCs/>
        </w:rPr>
      </w:r>
    </w:p>
    <w:p>
      <w:pPr>
        <w:pStyle w:val="902"/>
        <w:spacing w:line="240" w:lineRule="exact"/>
        <w:rPr>
          <w:b/>
          <w:bCs/>
        </w:rPr>
      </w:pPr>
      <w:r>
        <w:rPr>
          <w:b/>
        </w:rPr>
        <w:t xml:space="preserve">Перми, на мероприятия, направленные </w:t>
      </w:r>
      <w:r>
        <w:rPr>
          <w:b/>
        </w:rPr>
        <w:br/>
        <w:t xml:space="preserve">на решение отдельных вопросов </w:t>
      </w:r>
      <w:r>
        <w:rPr>
          <w:b/>
        </w:rPr>
        <w:br/>
        <w:t xml:space="preserve">местного значения в микрорайонах </w:t>
      </w:r>
      <w:r>
        <w:rPr>
          <w:b/>
        </w:rPr>
        <w:br/>
        <w:t xml:space="preserve">города Перми, утвержденный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/>
        <w:t xml:space="preserve">города Перми от 04.02.2021 № 41 </w:t>
      </w:r>
      <w:r>
        <w:rPr>
          <w:b/>
        </w:rPr>
        <w:br/>
      </w:r>
      <w:r>
        <w:rPr>
          <w:b/>
          <w:bCs/>
        </w:rPr>
      </w:r>
    </w:p>
    <w:p>
      <w:pPr>
        <w:pStyle w:val="902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78.1 Бюджетного кодекса Российской Федерации, </w:t>
      </w:r>
      <w:r>
        <w:rPr>
          <w:sz w:val="28"/>
          <w:szCs w:val="28"/>
        </w:rPr>
        <w:br/>
        <w:t xml:space="preserve">в целях актуализации нормативной правовой базы города Перми </w:t>
      </w:r>
      <w:r>
        <w:rPr>
          <w:sz w:val="28"/>
          <w:szCs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в Порядок определения объема и условий предоставления субсидий на иные цели бюджетным и автономны</w:t>
      </w:r>
      <w:r>
        <w:rPr>
          <w:sz w:val="28"/>
        </w:rPr>
        <w:t xml:space="preserve">м учреждениям, подведомственным департаменту образования администрации города Перми, </w:t>
      </w:r>
      <w:r>
        <w:rPr>
          <w:sz w:val="28"/>
        </w:rPr>
        <w:br/>
        <w:t xml:space="preserve">на мероприятия, направленные на решение отдельных вопросов местного значения в микрорайонах города Перми, утвержденный постановлением администрации города Перми от 04 фев</w:t>
      </w:r>
      <w:r>
        <w:rPr>
          <w:sz w:val="28"/>
        </w:rPr>
        <w:t xml:space="preserve">раля 2021 г. № 41 (в ред. от 28.04.2021 </w:t>
      </w:r>
      <w:r>
        <w:rPr>
          <w:sz w:val="28"/>
        </w:rPr>
        <w:br/>
        <w:t xml:space="preserve">№ 314, от 20.01.2022 № 25, от 19.05.2022 № 383, от 15.02.2023 № 108, </w:t>
      </w:r>
      <w:r>
        <w:rPr>
          <w:sz w:val="28"/>
        </w:rPr>
        <w:br/>
        <w:t xml:space="preserve">от 26.10.2023 № 1185, от 25.04.2024 № 326, от 21.06.2024 № 527, от 22.10.2024 </w:t>
      </w:r>
      <w:r>
        <w:rPr>
          <w:sz w:val="28"/>
        </w:rPr>
        <w:br/>
        <w:t xml:space="preserve">№ 1002), следующие изменения:</w:t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1.1. </w:t>
      </w:r>
      <w:r>
        <w:rPr>
          <w:bCs/>
          <w:sz w:val="28"/>
          <w:szCs w:val="28"/>
        </w:rPr>
        <w:t xml:space="preserve">абзац первый пункта 2.2 изложит</w:t>
      </w:r>
      <w:r>
        <w:rPr>
          <w:bCs/>
          <w:sz w:val="28"/>
          <w:szCs w:val="28"/>
        </w:rPr>
        <w:t xml:space="preserve">ь в следующей редакции: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«2.2. На дату, предшествующую дате представления документов, указанных в пункте 2.1 настоящего Порядка, не более чем на 1 месяц, Учреждения должны соответствовать следующим требованиям:»;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пункт 2.3 изложить в следующей редакции: 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«2.3. Рассмотрение и проверка документов на полноту их представления </w:t>
      </w:r>
      <w:r>
        <w:rPr>
          <w:sz w:val="28"/>
        </w:rPr>
        <w:br/>
        <w:t xml:space="preserve">в соответствии с пунктом 2.1 настоящего Порядка осуществляются Департаментом в течение 10 рабочих дней с даты их представления.»;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1.3. пунк</w:t>
      </w:r>
      <w:r>
        <w:rPr>
          <w:sz w:val="28"/>
        </w:rPr>
        <w:t xml:space="preserve">т 2.3</w:t>
      </w:r>
      <w:r>
        <w:rPr>
          <w:sz w:val="28"/>
          <w:vertAlign w:val="superscript"/>
        </w:rPr>
        <w:t xml:space="preserve">1</w:t>
      </w:r>
      <w:r>
        <w:rPr>
          <w:sz w:val="28"/>
        </w:rPr>
        <w:t xml:space="preserve"> признать утратившим силу;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1.4. в абзаце четвертом пункта 2.4 слово «Комиссией» заменить словом «Департаментом»;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1.5. абзац второй пункта 2.5 изложить в следующей редакции: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«При наличии в предварительной смете расходов на выполнение соответствующих р</w:t>
      </w:r>
      <w:r>
        <w:rPr>
          <w:sz w:val="28"/>
        </w:rPr>
        <w:t xml:space="preserve">абот и позиций, требующих подтверждения стоимости, </w:t>
      </w:r>
      <w:r>
        <w:rPr>
          <w:sz w:val="28"/>
        </w:rPr>
        <w:br/>
        <w:t xml:space="preserve">к каждой позиции представляются прайс-листы, коммерческие предложения </w:t>
      </w:r>
      <w:r>
        <w:rPr>
          <w:sz w:val="28"/>
        </w:rPr>
        <w:br/>
        <w:t xml:space="preserve">с приложением не менее трех ценовых информаций.»;</w:t>
      </w:r>
      <w:bookmarkStart w:id="0" w:name="undefined"/>
      <w:r/>
      <w:bookmarkEnd w:id="0"/>
      <w:r/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1.6. пункт 2.6 дополнить абзацем следующего содержания: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«В случае изменения размера</w:t>
      </w:r>
      <w:r>
        <w:rPr>
          <w:sz w:val="28"/>
        </w:rPr>
        <w:t xml:space="preserve"> субсидии на иные цели, определенного Перечнем мероприятий, Учреждение направляет в Департамент подтверждающие документы в соответствии с пунктом 2.1 настоящего Порядка.»;</w:t>
      </w:r>
      <w:r>
        <w:rPr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1.7. </w:t>
      </w:r>
      <w:r>
        <w:rPr>
          <w:bCs/>
          <w:sz w:val="28"/>
          <w:szCs w:val="28"/>
        </w:rPr>
        <w:t xml:space="preserve">раздел 3 </w:t>
      </w:r>
      <w:r>
        <w:rPr>
          <w:sz w:val="28"/>
        </w:rPr>
        <w:t xml:space="preserve">изложить </w:t>
      </w:r>
      <w:r>
        <w:rPr>
          <w:bCs/>
          <w:sz w:val="28"/>
          <w:szCs w:val="28"/>
        </w:rPr>
        <w:t xml:space="preserve">в следующей редакции:</w:t>
      </w:r>
      <w:r>
        <w:rPr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Требования к отчетности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3.1. Учреждения представляют в Департамент следующую отчетность (далее – Отчеты):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ежеквартально до 15 числа месяца (за год до 25 числа месяца), следующего за отчетным, по форме, установленной типовой формой: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</w:t>
      </w:r>
      <w:r>
        <w:rPr>
          <w:sz w:val="28"/>
          <w:szCs w:val="28"/>
        </w:rPr>
        <w:t xml:space="preserve">обеспечения которых являются субсидии на 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на иные цели;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ежеквартально до 10 числа месяца, следующего за отчетным, </w:t>
      </w:r>
      <w:r>
        <w:rPr>
          <w:sz w:val="28"/>
          <w:szCs w:val="28"/>
        </w:rPr>
        <w:br/>
        <w:t xml:space="preserve">и не позднее 10 рабочего дня после достижения конечного знач</w:t>
      </w:r>
      <w:r>
        <w:rPr>
          <w:sz w:val="28"/>
          <w:szCs w:val="28"/>
        </w:rPr>
        <w:t xml:space="preserve">ения результата предоставления субсидии по форме, установленной приложением 3 </w:t>
      </w:r>
      <w:r>
        <w:rPr>
          <w:sz w:val="28"/>
          <w:szCs w:val="28"/>
        </w:rPr>
        <w:br/>
        <w:t xml:space="preserve">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</w:t>
      </w:r>
      <w:r>
        <w:rPr>
          <w:sz w:val="28"/>
          <w:szCs w:val="28"/>
        </w:rPr>
        <w:t xml:space="preserve">ждениям, индивидуальным предпринимателям, физическим лицам – производителям товаров, работ, услуг, утвержденному приказом Министерства финансов Российской Федерации </w:t>
      </w:r>
      <w:r>
        <w:rPr>
          <w:sz w:val="28"/>
          <w:szCs w:val="28"/>
        </w:rPr>
        <w:br/>
        <w:t xml:space="preserve">от 27 апреля 2024 г. № 53н: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результата </w:t>
      </w:r>
      <w:r>
        <w:rPr>
          <w:sz w:val="28"/>
          <w:szCs w:val="28"/>
        </w:rPr>
        <w:t xml:space="preserve">предоставления субсидий на иные цели.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br/>
        <w:t xml:space="preserve">и достоверностью отчетных данных возлагается на руководителей Учреждений.».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обнародования п</w:t>
      </w:r>
      <w:r>
        <w:rPr>
          <w:sz w:val="28"/>
        </w:rPr>
        <w:t xml:space="preserve">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обеспечить обнародовани</w:t>
      </w:r>
      <w:r>
        <w:rPr>
          <w:sz w:val="28"/>
        </w:rPr>
        <w:t xml:space="preserve">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Информационно-аналитическому управлению администрац</w:t>
      </w:r>
      <w:r>
        <w:rPr>
          <w:sz w:val="28"/>
        </w:rPr>
        <w:t xml:space="preserve">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</w:t>
      </w:r>
      <w:r>
        <w:rPr>
          <w:bCs/>
          <w:sz w:val="28"/>
          <w:szCs w:val="28"/>
        </w:rPr>
        <w:t xml:space="preserve">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</w:t>
      </w:r>
      <w:r>
        <w:rPr>
          <w:sz w:val="28"/>
          <w:szCs w:val="28"/>
          <w:lang w:eastAsia="en-US"/>
        </w:rPr>
        <w:t xml:space="preserve">а </w:t>
      </w:r>
      <w:r>
        <w:rPr>
          <w:sz w:val="28"/>
          <w:szCs w:val="28"/>
          <w:lang w:eastAsia="en-US"/>
        </w:rPr>
        <w:t xml:space="preserve">города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Перми                                                                            </w:t>
      </w:r>
      <w:r>
        <w:rPr>
          <w:sz w:val="28"/>
          <w:szCs w:val="28"/>
          <w:lang w:eastAsia="en-US"/>
        </w:rPr>
        <w:t xml:space="preserve">Э.О. </w:t>
      </w:r>
      <w:bookmarkStart w:id="1" w:name="_GoBack"/>
      <w:r/>
      <w:bookmarkEnd w:id="1"/>
      <w:r>
        <w:rPr>
          <w:sz w:val="28"/>
          <w:szCs w:val="28"/>
          <w:lang w:eastAsia="en-US"/>
        </w:rPr>
        <w:t xml:space="preserve">Соснин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47">
    <w:name w:val="Caption Char"/>
    <w:basedOn w:val="733"/>
    <w:link w:val="731"/>
    <w:uiPriority w:val="99"/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link w:val="73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Название объекта Знак"/>
    <w:link w:val="733"/>
    <w:uiPriority w:val="35"/>
    <w:rPr>
      <w:b/>
      <w:bCs/>
      <w:color w:val="4f81bd"/>
      <w:sz w:val="18"/>
      <w:szCs w:val="18"/>
    </w:rPr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link w:val="903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numbering" w:styleId="885" w:customStyle="1">
    <w:name w:val="Нет списка1"/>
    <w:next w:val="709"/>
    <w:uiPriority w:val="99"/>
    <w:semiHidden/>
    <w:unhideWhenUsed/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</w:rPr>
  </w:style>
  <w:style w:type="character" w:styleId="903" w:customStyle="1">
    <w:name w:val="Основной текст Знак"/>
    <w:link w:val="879"/>
    <w:rPr>
      <w:rFonts w:ascii="Courier New" w:hAnsi="Courier New"/>
      <w:sz w:val="26"/>
    </w:rPr>
  </w:style>
  <w:style w:type="paragraph" w:styleId="904" w:customStyle="1">
    <w:name w:val="ConsPlusNormal"/>
    <w:rPr>
      <w:sz w:val="28"/>
      <w:szCs w:val="28"/>
    </w:rPr>
  </w:style>
  <w:style w:type="numbering" w:styleId="905" w:customStyle="1">
    <w:name w:val="Нет списка11"/>
    <w:next w:val="709"/>
    <w:uiPriority w:val="99"/>
    <w:semiHidden/>
    <w:unhideWhenUsed/>
  </w:style>
  <w:style w:type="numbering" w:styleId="906" w:customStyle="1">
    <w:name w:val="Нет списка111"/>
    <w:next w:val="709"/>
    <w:uiPriority w:val="99"/>
    <w:semiHidden/>
    <w:unhideWhenUsed/>
  </w:style>
  <w:style w:type="paragraph" w:styleId="907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8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 w:customStyle="1">
    <w:name w:val="Нет списка2"/>
    <w:next w:val="709"/>
    <w:uiPriority w:val="99"/>
    <w:semiHidden/>
    <w:unhideWhenUsed/>
  </w:style>
  <w:style w:type="numbering" w:styleId="955" w:customStyle="1">
    <w:name w:val="Нет списка3"/>
    <w:next w:val="709"/>
    <w:uiPriority w:val="99"/>
    <w:semiHidden/>
    <w:unhideWhenUsed/>
  </w:style>
  <w:style w:type="paragraph" w:styleId="95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 w:customStyle="1">
    <w:name w:val="Нет списка4"/>
    <w:next w:val="709"/>
    <w:uiPriority w:val="99"/>
    <w:semiHidden/>
    <w:unhideWhenUsed/>
  </w:style>
  <w:style w:type="character" w:styleId="960" w:customStyle="1">
    <w:name w:val="Нижний колонтитул Знак"/>
    <w:link w:val="73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34</cp:revision>
  <dcterms:created xsi:type="dcterms:W3CDTF">2016-08-25T12:19:00Z</dcterms:created>
  <dcterms:modified xsi:type="dcterms:W3CDTF">2025-04-23T04:29:55Z</dcterms:modified>
  <cp:version>983040</cp:version>
</cp:coreProperties>
</file>