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5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30.11.2021 № 1085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</w:t>
      </w:r>
      <w:r>
        <w:rPr>
          <w:rFonts w:ascii="Times New Roman" w:hAnsi="Times New Roman" w:cs="Times New Roman"/>
          <w:sz w:val="28"/>
          <w:szCs w:val="28"/>
        </w:rPr>
        <w:t xml:space="preserve">, от 13.02.2024 № 94</w:t>
      </w:r>
      <w:r>
        <w:rPr>
          <w:rFonts w:ascii="Times New Roman" w:hAnsi="Times New Roman" w:cs="Times New Roman"/>
          <w:sz w:val="28"/>
          <w:szCs w:val="28"/>
        </w:rPr>
        <w:t xml:space="preserve">, от 11.06.2024 № 472)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2.4.1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«2.4.1. в отношении подуслуги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10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пункт 2.4.2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«Предоставление разрешения на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3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2.4.3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«Продление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5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пункте 2.4.4: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1.4.1. абзац первый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«Закрытие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5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1.4.2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бзац четвертый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представления с Заявкой электронных образов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 заверенных усиленной квалифицированной электронной подписью, Заявитель в течение 6 рабочих дней после подачи (направления) Заявки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подуслуги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1 рабочего дня после подачи (направления) Заявки (для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подуслуги «Предоставление разрешения на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течение 2 рабочих дней (для подуслуг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«Продление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«Закрытие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представляет в Территориальный орган оригиналы незаверенных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пункт 2.5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в пункте 2.6.1.1: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1.6.1. абзац четырнадцатый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о высоте антенно-мачтового сооружения и расстоянии от его размещения до близлежащих многоквартирных домов, объектов озеленения общего пользования, мест отдыха, соц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иально значимых объектов (объектов образования, здравоохранения, культуры, физкультуры и спорта)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производства земляных работ в целях размещения анте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но-мачтовых сооружений, для размещения которых не требуется разрешение на строительство (в случае подачи Заявки посредством Единого портала скан-образ документа прикрепляется в файле </w:t>
        <w:br/>
        <w:t xml:space="preserve">в формате pdf или tif в интерактивной форме Заявки на Едином портале);»;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1.6.2. абзац девятнадцатый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оригинал или копия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 организации дорожного движения на период введения временных ограничения или прекращения движения транспортных средств по дорогам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производстве земляных работ, влияющих на отдельные параметры, характеризующие дорожное движение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1.7. абзац третий пункта 2.6.1.2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оригиналы или копии документов, подтверждающие указанные в Заявке основания для продления разрешения на осуществление земляных работ (письма, справки, акты, протоколы, распоряжения, приказы, чертежи, графики)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1.8. пункт 2.16 дополнить словами «в электронном виде:»;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 в пункте 3.1: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1.9.1. абзац третий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«получение сведений посредством межведомственного (внутриведомственного) информационного взаимодействия, рассмотрение Заявки и документов;»;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1.9.2. абзац четвертый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1.9.3. абзац шестой дополнить словами «в виде бумажной копии электронного документа»;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1.10. пункт 3.2.4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«3.2.4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. после регистрации Заявки специалист, ответственный за прием, </w:t>
        <w:br/>
        <w:t xml:space="preserve">в порядке, установленном 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едоставлении государственной или муниципальной услуги, заявления </w:t>
        <w:br/>
        <w:t xml:space="preserve">о предоставлении услуги, указанной в части 3 статьи 1 Федерального закона </w:t>
        <w:br/>
        <w:t xml:space="preserve">«Об организации предоставления государственных и муниципальных услуг», </w:t>
        <w:br/>
        <w:t xml:space="preserve">а также результатов предоставления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заносит сведения о Заявке в государственную информационную систему (за исключением случая поступления Заявки посредством Единого портала) и направляет </w:t>
        <w:br/>
        <w:t xml:space="preserve">в личный кабинет Заявителя на Едином портале статус оказания муниципальной услуги «Зарегистрировано»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1.11. абзац первый пункта 3.2.5 дополнить словами «(далее – должностное лицо, уполномоченное на принятие решений)»;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пункт 3.2.7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«3.2.7. максимальный срок административной процедуры «Проверка документов и регистрация Заявки» – не более 1 рабочего дня со дня поступления Заявки с пакетом документов в Территориальный орган.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1.13. пункт 3.3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документов:»;</w:t>
      </w:r>
      <w:r>
        <w:rPr>
          <w:highlight w:val="none"/>
        </w:rPr>
      </w:r>
      <w:r>
        <w:rPr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3.3.1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3.3.1. основанием для начала административной процедуры «П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поступление Заявки с пакетом документов ответственному специалисту;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1.15. пункт 3.3.2.2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позднее дня, следующего за днем поступления от должностного лица Заявки и пакета документов,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подуслуг «Предоставление разрешения на осуществление земляных работ», «Предоставление разрешения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осуществление земляных работ при проведении аварийного ремонта».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Выполнение межведомственных (внутриведомственных) запросов осуществляется в сроки, предусмотренные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законодательством.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подготовки и направления межведомственных (внутриведомственных) запросов является получение запрашиваемых документов либо отказ </w:t>
        <w:br/>
        <w:t xml:space="preserve">в их представлении.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подуслуг «Продление разрешения на осуществление земляных работ», «Закрытие разрешения на осуществление земляных работ» межведомственные (внутриведомственные) запросы не направляются;»;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1.16.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3.3.2.3 слово «проверку» заменить словом «рассмотрение»;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1.17. пункт 3.3.2.5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оснований для отказа в приеме Заявки и документов, необходимых для предоставления муниципальной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услуги, предусмотренных пунктом 2.9 настоящего Административного регламента, по результатам рассмотрения пакета документов, документов, поступивших по результатам межведомственных (внутриведомственных) запросов, а также оригиналов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подготавливает один из следующих проектов документов (решений) по результатам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доставления муниципальной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1.18. дополнить пунктом 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Административного регламента: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подуслугам «Предоставление разрешения на осуществление земляных работ», «Предоставление разрешения на осуществление земляных работ при проведении аварийного ремонта», «Продление разрешения на осуществление земляных работ» в форме 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азрешения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осуществление земляных работ по форме согласно приложению 2 к настоящему Административному регламенту (далее – 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азрешение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осуществление земляных работ)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случае обращения через Единый портал решение о предоставлении разрешения на осуществление земляных работ направляется в личный кабинет Заявителя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Едином портале в виде электронного документа, подписанного усиленной квалифицированной подписью должностного лица, уполномоченного на принятие решений, одновременно с уведомлением об окончании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предоставления муниципальной услуги);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подуслуге «Закрытие разрешения на осуществление земляных работ» </w:t>
        <w:br/>
        <w:t xml:space="preserve">в форме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закрытии разрешения на осуществление земляных работ по форме согласно приложению 10 к настоящему Административному регламенту (в случае обращения через Единый портал решение о закрытии разрешения на осуществление земляных работ направляется в личный каб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инет Заявителя на Едином портале в виде электронного документа, подписанного усиленной квалифицированной подписью должностного лица, уполномоченного на принятие решений, одновременно с уведомле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нием об окончании предоставления муниципальной услуги);»;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1.19.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/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3.3.2.5.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решения об отказе в предоставлении муниципальной услуги по форме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настоящему Административному регламенту с указанием всех оснований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форме, реализов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Ответственный специалист несет персональную ответственность за правильность оформления проектов документов (решений) по результатам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1.20.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3.3.2.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«3.3.2.6.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пакет документов и проекты документов (решений) по результатам предоставления муниципальной услуги передает для принятия решения о предоставлении муниципальной услуги должностному лицу, уполномоченном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на принятие решений;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1.21. 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результатом административной процедуры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документов по результатам межведомственных (внутриведомственных) запросов, рассмотрение оригиналов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передача пакета документов специалисту, ответственному за прием, для оформления проекта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об отказе в приеме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подготовка проектов документов (решений) по результатам предоставления муниципальной услуги и передача их с пакетом документов должностному лицу, уполномоченному на принятие решений для принятия решения о предоставлении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1.22.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«3.3.4. </w:t>
      </w:r>
      <w:r>
        <w:rPr>
          <w:sz w:val="28"/>
          <w:szCs w:val="28"/>
          <w:highlight w:val="none"/>
        </w:rPr>
        <w:t xml:space="preserve">максимальный срок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административной процедуры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подуслуги «Предоставление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 более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7 рабочих дней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подуслуги «Предоставление разрешения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 более 1 рабочего дня 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для подуслуг «Продление разрешения на осуществление земляных работ», «Закрытие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 более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 рабочих дней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1.23.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3.4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1.24.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в пункте 3.5.1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«должностным лицом Территориального органа, уполномоченным на подписание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» заменить словами «должностным лицом, уполномоченным на принятие решений»;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1.25. в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абзаце первом пункта 3.5.2 слова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должностное лицо Территориального органа, уполномоченное на подписание Разрешени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на осуществление земляных работ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«должностное лицо, уполномоченное на принятие решений»;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1.26. в абзаце четвертом пункта 3.5.2 слова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должностное лицо Территориального органа, уполномоченное на подписание Разрешени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на осуществление земляных работ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должностное лицо, уполномоченное на принятие решений»;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1.27.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шестой пункта 3.5.2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«При отсутствии замечаний должностное лицо, уполномоченное на принятие решений, осуществляет подписание документов (решений) по результатам предоставления муниципальной услуги и направляет их с пакетом документов ответственному специалисту;»;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дополнить пунктом 3.5.2</w:t>
      </w: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следующего содержания: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«3.5.2</w:t>
      </w: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ответственный специалист: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иленной квалифицированной электронной подписью должностного лица уполномоченного на принятие решений, и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Российской Федерации № 277, направляет в личный кабинет Заявителя на Едином портале статус оказания муниципальной услуги: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«Услуга предоставлена» в случае принятия решения о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«В предоставлении услуги отказано» в случае принятия решения об отказе </w:t>
        <w:br/>
        <w:t xml:space="preserve">в предоставлении муниципальной услуги с указанием всех выявленных причин отказа, предусмотренных пунктом 2.11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обеспечивает заверение должностным лицом, уполномоченным на принятие решений</w:t>
      </w:r>
      <w:r>
        <w:rPr>
          <w:sz w:val="28"/>
          <w:szCs w:val="28"/>
          <w:highlight w:val="none"/>
        </w:rPr>
        <w:t xml:space="preserve">, бумажной копии электронного документа результата предоставления муниципальной услуги (при выборе Заявителем способа получения результата предоставления муниципальной услуги посредством почтовой связи или через МФЦ);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передает бумажную копию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«3.5.3.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административной процедуры «Принятие решения </w:t>
        <w:br/>
        <w:t xml:space="preserve">о предоставлении муниципальной услуги» является подписание документов (решений) по результатам предо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ставления муниципальной услуги, направление сведений о результатах предоставления муниципальной услуги в государственную информационную систему и статуса оказания муниципальной услуги в личный кабинет заявителя на Едином портале, </w:t>
      </w:r>
      <w:r>
        <w:rPr>
          <w:sz w:val="28"/>
          <w:szCs w:val="28"/>
          <w:highlight w:val="none"/>
        </w:rPr>
        <w:t xml:space="preserve">передача бумажной копии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3.5.4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должностному лицу Территориального органа, уполномоченному на подписание Разрешения на осуществление земляных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заменить словами «должностному лицу, уполномоченному на принятие решений»;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1.31. абзац первый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3.6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«3.6. Направление (выдача) результата предоставления муниципальной услуги в виде бумажной копии электронного документа:»;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1.32. пункт 3.6.1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«3.6.1. основанием для начала административной процедуры 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поступление бумажной копии электронного документа результата предоставления муниципальной услуги спец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иалисту Территориального органа, ответственному за регистрацию и выдачу документов;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1.33. пункт 3.6.2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«3.6.2. спец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иалист Территориального органа, ответственный за регистрацию и выдачу документов,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направляет (выдает) результат предоставления муниципальной услуги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под подпись Заявителю или направляет результат предоставления муниципальной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способом, определенным Заявителем в Заявке.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обращения Заявителя за получением муниципальной услуги через МФЦ результат предоставления муниципальной услуги Заявитель получает </w:t>
        <w:br/>
        <w:t xml:space="preserve">в МФЦ, если иной способ получения не указан Заявителем.»;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1.34. абзац первый пункта 3.6.3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«3.6.3.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административной процедуры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(выдача) Заявителю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1.35. пункт 3.6.4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«3.6.4.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максимальный срок административной процедуры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для подуслуг «Предоставление разрешения на осуществление земляных работ»,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«Продление разрешения на осуществление земляных работ», «Закрытие разрешения на осуществление земляных работ»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более 1 рабочего дня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 дня поступления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результата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виде бумажной копии электронного документа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спец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иалисту Территориального органа, ответственному за регистрацию и выдачу 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для подуслуги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«Предоставление разрешения на осуществление земляных работ при проведе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нии аварийного ремонта»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день принятия решения о предоставлении муниципальной услуги</w:t>
      </w:r>
      <w:r>
        <w:rPr>
          <w:b w:val="0"/>
          <w:bCs w:val="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1.36. раздел 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1.37. раздел 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1.38. приложение 1 изложить в редакции согласно приложению 1 к настоящему постановлению;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1.39. приложение 11 изложить в редакции согласно приложению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Департаменту дорог и благоустройства администрации города Перми обеспечить: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льный центр предоставления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  <w:r/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14" w:tooltip="http://www.gorodperm.ru" w:history="1">
        <w:r>
          <w:rPr>
            <w:rStyle w:val="922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».</w: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/>
    </w:p>
    <w:p>
      <w:pPr>
        <w:ind w:left="0" w:right="0" w:firstLine="0"/>
        <w:jc w:val="both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left="5103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  <w:br/>
        <w:t xml:space="preserve">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23.04.2025 № 276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ind w:left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5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5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местах нахождения, графиках работы, справочных телефонах, адресах электронной почты 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ерриториальных </w:t>
      </w:r>
      <w:r>
        <w:rPr>
          <w:b/>
          <w:sz w:val="28"/>
          <w:szCs w:val="28"/>
        </w:rPr>
        <w:t xml:space="preserve">органов</w:t>
      </w:r>
      <w:r>
        <w:rPr>
          <w:b/>
          <w:sz w:val="28"/>
          <w:szCs w:val="28"/>
        </w:rPr>
        <w:t xml:space="preserve"> администрации города </w:t>
        <w:br/>
        <w:t xml:space="preserve">Перми</w:t>
      </w:r>
      <w:r>
        <w:rPr>
          <w:b/>
          <w:sz w:val="28"/>
          <w:szCs w:val="28"/>
        </w:rPr>
        <w:t xml:space="preserve">, предоставляющих муниципальную </w:t>
      </w:r>
      <w:r>
        <w:rPr>
          <w:b/>
          <w:sz w:val="28"/>
          <w:szCs w:val="28"/>
        </w:rPr>
        <w:t xml:space="preserve">услугу «</w:t>
      </w:r>
      <w:r>
        <w:rPr>
          <w:b/>
          <w:sz w:val="28"/>
          <w:szCs w:val="28"/>
        </w:rPr>
        <w:t xml:space="preserve">Предоставление </w:t>
        <w:br/>
        <w:t xml:space="preserve">разрешения на осуществление земляных работ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1"/>
        <w:gridCol w:w="1701"/>
        <w:gridCol w:w="2551"/>
        <w:gridCol w:w="2268"/>
        <w:gridCol w:w="1701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территориал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ного органа 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министрации гор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Место нахожд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адрес эле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тронной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почты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структурного 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разделения террит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 органа, предоста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ляющего муниципальную услугу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График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Справочные телефоны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1"/>
        <w:gridCol w:w="1701"/>
        <w:gridCol w:w="2551"/>
        <w:gridCol w:w="2268"/>
        <w:gridCol w:w="1701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left"/>
              <w:widowControl w:val="off"/>
              <w:rPr>
                <w:rFonts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Дзержинского района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614068, </w:t>
              <w:br/>
              <w:t xml:space="preserve">ул. Лен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на, 85,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5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adzr@perm.permkrai.ru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246-56-31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236-77-05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246-50-11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Индустриальн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 района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614095,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Мира, 15,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16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air@perm.permkrai.ru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227-94-12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227-91-74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Кировского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614101, </w:t>
              <w:br/>
              <w:t xml:space="preserve">ул.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Кир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воградская, 33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7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akir@perm.permkrai.ru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205-62-28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205-62-19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Ленинского района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614000, </w:t>
              <w:br/>
              <w:t xml:space="preserve">ул. Пер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57,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alen@</w:t>
            </w:r>
            <w:r>
              <w:rPr>
                <w:sz w:val="24"/>
                <w:szCs w:val="24"/>
                <w:highlight w:val="none"/>
              </w:rPr>
              <w:t xml:space="preserve">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212-34-60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212-24-98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Мотовилихи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ского района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614014, </w:t>
              <w:br/>
              <w:t xml:space="preserve">ул. Урал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36,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contextualSpacing w:val="0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8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pacing w:val="-17"/>
                  <w:sz w:val="24"/>
                  <w:szCs w:val="24"/>
                  <w:highlight w:val="none"/>
                  <w:u w:val="none"/>
                </w:rPr>
                <w:t xml:space="preserve">amtv@perm.permkrai.ru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266-08-10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260-27-66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Орджоники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зевского района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614026,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Александра </w:t>
              <w:br/>
              <w:t xml:space="preserve">Щербакова, 24,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19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aord@perm.permkrai.ru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52-04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263-47-71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263-53-52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Свердловского района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ул. 614007, ул. Сиби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58,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20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asvr@perm.permkrai.ru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12.00 час. </w:t>
              <w:br/>
              <w:t xml:space="preserve">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-40-77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244-21-80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поселка Новые Ляды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left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Новые Ляды, 614105,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Тран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портная, 2,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21" w:tooltip="Отправить письмо" w:history="1">
              <w:r>
                <w:rPr>
                  <w:rStyle w:val="92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anld@perm.permkrai.ru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 и потребител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ского рынка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</w:t>
              <w:br/>
              <w:t xml:space="preserve">с 09.00 час. </w:t>
              <w:br/>
              <w:t xml:space="preserve">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</w:t>
              <w:br/>
              <w:t xml:space="preserve">с 09.00 час. </w:t>
              <w:br/>
              <w:t xml:space="preserve">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5"/>
              <w:jc w:val="center"/>
              <w:widowControl w:val="off"/>
              <w:tabs>
                <w:tab w:val="left" w:pos="568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</w:t>
              <w:br/>
              <w:t xml:space="preserve">с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.00 час. </w:t>
              <w:br/>
              <w:t xml:space="preserve">до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295-85-67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5"/>
        <w:ind w:left="5103"/>
        <w:rPr>
          <w:rFonts w:eastAsia="Calibri"/>
          <w:sz w:val="2"/>
          <w:szCs w:val="2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Приложение 2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</w:t>
        <w:br/>
        <w:t xml:space="preserve">от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23.04.2025 № 276</w:t>
      </w:r>
      <w:r/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left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БЛОК-СХЕМА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0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прохождения административных процедур предоставления </w:t>
        <w:br/>
        <w:t xml:space="preserve">муниц</w:t>
      </w:r>
      <w:r>
        <w:rPr>
          <w:b/>
          <w:color w:val="000000"/>
          <w:sz w:val="28"/>
          <w:szCs w:val="28"/>
        </w:rPr>
        <w:t xml:space="preserve">и</w:t>
      </w:r>
      <w:r>
        <w:rPr>
          <w:b/>
          <w:color w:val="000000"/>
          <w:sz w:val="28"/>
          <w:szCs w:val="28"/>
        </w:rPr>
        <w:t xml:space="preserve">пальной услуги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05"/>
        <w:ind w:firstLine="709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0" w:right="0" w:firstLine="709"/>
        <w:jc w:val="center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3" w:type="dxa"/>
            <w:vAlign w:val="center"/>
            <w:textDirection w:val="lrTb"/>
            <w:noWrap w:val="false"/>
          </w:tcPr>
          <w:p>
            <w:pPr>
              <w:pStyle w:val="1000"/>
              <w:ind w:firstLine="55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роверка документов и регистрация Заявки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1000"/>
              <w:ind w:firstLine="55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(не более 1 рабочего дня со дня поступления Заявки с пакетом документов </w:t>
              <w:br/>
              <w:t xml:space="preserve">в Территориальный орган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9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61353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8" cy="2095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3" w:type="dxa"/>
            <w:vAlign w:val="top"/>
            <w:textDirection w:val="lrTb"/>
            <w:noWrap w:val="false"/>
          </w:tcPr>
          <w:p>
            <w:pPr>
              <w:ind w:left="0" w:right="0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Получение сведений посредством межведомственного (внутриведомственного) </w:t>
              <w:br/>
              <w:t xml:space="preserve">информационного взаимодействия, рассмотрение Заявки и документов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567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подуслуги «Предоставление разрешения на осуществление земляных работ» – </w:t>
              <w:br/>
              <w:t xml:space="preserve">не более 7 рабочих дней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 дня поступления Заявки с пакетом документов ответственному специалисту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для подуслуги «Предоставление разрешения на осуществление земляных работ при проведе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нии аварийного ремонта» – не более 1 рабочего дня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 дня поступления Заявки с пакетом документов ответственному специалисту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для подуслуг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«Продление разрешения на осуществление земляных работ», «Закрытие разрешения на осуществление земляных работ»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  <w:br/>
              <w:t xml:space="preserve">не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 дня поступления Заявки с пакетом документов ответственному специалисту)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9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207286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7" cy="209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3" w:type="dxa"/>
            <w:vAlign w:val="top"/>
            <w:textDirection w:val="lrTb"/>
            <w:noWrap w:val="false"/>
          </w:tcPr>
          <w:p>
            <w:pPr>
              <w:ind w:left="0" w:right="0" w:firstLine="56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rPr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 более 1 рабочего дня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 дня поступления должностному лицу Территориального органа, уполномоченному на принятие решений по предоставлению муниципальной услуги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9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483886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8" cy="2095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3" w:type="dxa"/>
            <w:vAlign w:val="top"/>
            <w:textDirection w:val="lrTb"/>
            <w:noWrap w:val="false"/>
          </w:tcPr>
          <w:p>
            <w:pPr>
              <w:ind w:left="0" w:right="0" w:firstLine="567"/>
              <w:jc w:val="center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(выдача) результата предоставления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виде бумажной копии электронного документа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567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подуслуг «Предоставление разрешения на осуществление земляных работ»,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«Продление разрешения на осуществление земляных работ», «Закрытие разрешения на осуществление земляных работ»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1 рабочего дня </w:t>
            </w:r>
            <w:r>
              <w:rPr>
                <w:sz w:val="24"/>
                <w:szCs w:val="24"/>
              </w:rPr>
              <w:t xml:space="preserve">со дня поступления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виде бумажной копии электронного документа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иалисту Территориального органа, ответственному за регистрацию и выдачу документов</w:t>
            </w:r>
            <w:r>
              <w:rPr>
                <w:sz w:val="24"/>
                <w:szCs w:val="24"/>
              </w:rPr>
              <w:t xml:space="preserve">, для подуслуги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«Предоставление разрешения на осуществление земляных работ при проведе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нии аварийного ремонта» – в день принятия решения о предоставлении муниципальной услуги)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5"/>
    <w:next w:val="90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5"/>
    <w:next w:val="90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5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link w:val="755"/>
    <w:uiPriority w:val="99"/>
  </w:style>
  <w:style w:type="paragraph" w:styleId="757">
    <w:name w:val="Footer"/>
    <w:basedOn w:val="905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link w:val="757"/>
    <w:uiPriority w:val="99"/>
  </w:style>
  <w:style w:type="paragraph" w:styleId="759">
    <w:name w:val="Caption"/>
    <w:basedOn w:val="905"/>
    <w:next w:val="905"/>
    <w:link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next w:val="905"/>
    <w:link w:val="905"/>
    <w:qFormat/>
    <w:rPr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ind w:right="-1" w:firstLine="709"/>
      <w:jc w:val="both"/>
      <w:keepNext/>
      <w:outlineLvl w:val="0"/>
    </w:pPr>
    <w:rPr>
      <w:sz w:val="24"/>
    </w:rPr>
  </w:style>
  <w:style w:type="paragraph" w:styleId="907">
    <w:name w:val="Заголовок 2"/>
    <w:basedOn w:val="905"/>
    <w:next w:val="905"/>
    <w:link w:val="905"/>
    <w:qFormat/>
    <w:pPr>
      <w:ind w:right="-1"/>
      <w:jc w:val="both"/>
      <w:keepNext/>
      <w:outlineLvl w:val="1"/>
    </w:pPr>
    <w:rPr>
      <w:sz w:val="24"/>
    </w:rPr>
  </w:style>
  <w:style w:type="character" w:styleId="908">
    <w:name w:val="Основной шрифт абзаца"/>
    <w:next w:val="908"/>
    <w:link w:val="905"/>
    <w:semiHidden/>
  </w:style>
  <w:style w:type="table" w:styleId="909">
    <w:name w:val="Обычная таблица"/>
    <w:next w:val="909"/>
    <w:link w:val="905"/>
    <w:semiHidden/>
    <w:tblPr/>
  </w:style>
  <w:style w:type="numbering" w:styleId="910">
    <w:name w:val="Нет списка"/>
    <w:next w:val="910"/>
    <w:link w:val="905"/>
    <w:semiHidden/>
  </w:style>
  <w:style w:type="paragraph" w:styleId="911">
    <w:name w:val="Название объекта"/>
    <w:basedOn w:val="905"/>
    <w:next w:val="905"/>
    <w:link w:val="9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Основной текст"/>
    <w:basedOn w:val="905"/>
    <w:next w:val="912"/>
    <w:link w:val="940"/>
    <w:pPr>
      <w:ind w:right="3117"/>
    </w:pPr>
    <w:rPr>
      <w:rFonts w:ascii="Courier New" w:hAnsi="Courier New"/>
      <w:sz w:val="26"/>
    </w:rPr>
  </w:style>
  <w:style w:type="paragraph" w:styleId="913">
    <w:name w:val="Основной текст с отступом"/>
    <w:basedOn w:val="905"/>
    <w:next w:val="913"/>
    <w:link w:val="905"/>
    <w:pPr>
      <w:ind w:right="-1"/>
      <w:jc w:val="both"/>
    </w:pPr>
    <w:rPr>
      <w:sz w:val="26"/>
    </w:rPr>
  </w:style>
  <w:style w:type="paragraph" w:styleId="914">
    <w:name w:val="Нижний колонтитул"/>
    <w:basedOn w:val="905"/>
    <w:next w:val="914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Номер страницы"/>
    <w:basedOn w:val="908"/>
    <w:next w:val="915"/>
    <w:link w:val="905"/>
  </w:style>
  <w:style w:type="paragraph" w:styleId="916">
    <w:name w:val="Верхний колонтитул"/>
    <w:basedOn w:val="905"/>
    <w:next w:val="916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Текст выноски"/>
    <w:basedOn w:val="905"/>
    <w:next w:val="917"/>
    <w:link w:val="918"/>
    <w:uiPriority w:val="99"/>
    <w:rPr>
      <w:rFonts w:ascii="Segoe UI" w:hAnsi="Segoe UI" w:cs="Segoe UI"/>
      <w:sz w:val="18"/>
      <w:szCs w:val="18"/>
    </w:rPr>
  </w:style>
  <w:style w:type="character" w:styleId="918">
    <w:name w:val="Текст выноски Знак"/>
    <w:next w:val="918"/>
    <w:link w:val="917"/>
    <w:uiPriority w:val="99"/>
    <w:rPr>
      <w:rFonts w:ascii="Segoe UI" w:hAnsi="Segoe UI" w:cs="Segoe UI"/>
      <w:sz w:val="18"/>
      <w:szCs w:val="18"/>
    </w:rPr>
  </w:style>
  <w:style w:type="character" w:styleId="919">
    <w:name w:val="Верхний колонтитул Знак"/>
    <w:next w:val="919"/>
    <w:link w:val="916"/>
    <w:uiPriority w:val="99"/>
  </w:style>
  <w:style w:type="numbering" w:styleId="920">
    <w:name w:val="Нет списка1"/>
    <w:next w:val="910"/>
    <w:link w:val="905"/>
    <w:uiPriority w:val="99"/>
    <w:semiHidden/>
    <w:unhideWhenUsed/>
  </w:style>
  <w:style w:type="paragraph" w:styleId="921">
    <w:name w:val="Без интервала"/>
    <w:next w:val="921"/>
    <w:link w:val="90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2">
    <w:name w:val="Гиперссылка"/>
    <w:next w:val="922"/>
    <w:link w:val="905"/>
    <w:uiPriority w:val="99"/>
    <w:unhideWhenUsed/>
    <w:rPr>
      <w:color w:val="0000ff"/>
      <w:u w:val="single"/>
    </w:rPr>
  </w:style>
  <w:style w:type="character" w:styleId="923">
    <w:name w:val="Просмотренная гиперссылка"/>
    <w:next w:val="923"/>
    <w:link w:val="905"/>
    <w:uiPriority w:val="99"/>
    <w:unhideWhenUsed/>
    <w:rPr>
      <w:color w:val="800080"/>
      <w:u w:val="single"/>
    </w:rPr>
  </w:style>
  <w:style w:type="paragraph" w:styleId="924">
    <w:name w:val="xl65"/>
    <w:basedOn w:val="905"/>
    <w:next w:val="92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66"/>
    <w:basedOn w:val="905"/>
    <w:next w:val="92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7"/>
    <w:basedOn w:val="905"/>
    <w:next w:val="926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68"/>
    <w:basedOn w:val="905"/>
    <w:next w:val="927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>
    <w:name w:val="xl69"/>
    <w:basedOn w:val="905"/>
    <w:next w:val="928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0"/>
    <w:basedOn w:val="905"/>
    <w:next w:val="929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>
    <w:name w:val="xl71"/>
    <w:basedOn w:val="905"/>
    <w:next w:val="930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2"/>
    <w:basedOn w:val="905"/>
    <w:next w:val="931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3"/>
    <w:basedOn w:val="905"/>
    <w:next w:val="932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4"/>
    <w:basedOn w:val="905"/>
    <w:next w:val="933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5"/>
    <w:basedOn w:val="905"/>
    <w:next w:val="934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6"/>
    <w:basedOn w:val="905"/>
    <w:next w:val="93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>
    <w:name w:val="xl77"/>
    <w:basedOn w:val="905"/>
    <w:next w:val="936"/>
    <w:link w:val="9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8"/>
    <w:basedOn w:val="905"/>
    <w:next w:val="93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>
    <w:name w:val="xl79"/>
    <w:basedOn w:val="905"/>
    <w:next w:val="93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Форма"/>
    <w:next w:val="939"/>
    <w:link w:val="905"/>
    <w:rPr>
      <w:sz w:val="28"/>
      <w:szCs w:val="28"/>
      <w:lang w:val="ru-RU" w:eastAsia="ru-RU" w:bidi="ar-SA"/>
    </w:rPr>
  </w:style>
  <w:style w:type="character" w:styleId="940">
    <w:name w:val="Основной текст Знак"/>
    <w:next w:val="940"/>
    <w:link w:val="912"/>
    <w:rPr>
      <w:rFonts w:ascii="Courier New" w:hAnsi="Courier New"/>
      <w:sz w:val="26"/>
    </w:rPr>
  </w:style>
  <w:style w:type="paragraph" w:styleId="941">
    <w:name w:val="ConsPlusNormal"/>
    <w:next w:val="941"/>
    <w:link w:val="905"/>
    <w:rPr>
      <w:sz w:val="28"/>
      <w:szCs w:val="28"/>
      <w:lang w:val="ru-RU" w:eastAsia="ru-RU" w:bidi="ar-SA"/>
    </w:rPr>
  </w:style>
  <w:style w:type="numbering" w:styleId="942">
    <w:name w:val="Нет списка11"/>
    <w:next w:val="910"/>
    <w:link w:val="905"/>
    <w:uiPriority w:val="99"/>
    <w:semiHidden/>
    <w:unhideWhenUsed/>
  </w:style>
  <w:style w:type="numbering" w:styleId="943">
    <w:name w:val="Нет списка111"/>
    <w:next w:val="910"/>
    <w:link w:val="905"/>
    <w:uiPriority w:val="99"/>
    <w:semiHidden/>
    <w:unhideWhenUsed/>
  </w:style>
  <w:style w:type="paragraph" w:styleId="944">
    <w:name w:val="font5"/>
    <w:basedOn w:val="905"/>
    <w:next w:val="944"/>
    <w:link w:val="9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>
    <w:name w:val="xl80"/>
    <w:basedOn w:val="905"/>
    <w:next w:val="945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>
    <w:name w:val="xl81"/>
    <w:basedOn w:val="905"/>
    <w:next w:val="94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>
    <w:name w:val="xl82"/>
    <w:basedOn w:val="905"/>
    <w:next w:val="947"/>
    <w:link w:val="9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Сетка таблицы"/>
    <w:basedOn w:val="909"/>
    <w:next w:val="948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9">
    <w:name w:val="xl83"/>
    <w:basedOn w:val="905"/>
    <w:next w:val="94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84"/>
    <w:basedOn w:val="905"/>
    <w:next w:val="95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85"/>
    <w:basedOn w:val="905"/>
    <w:next w:val="95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86"/>
    <w:basedOn w:val="905"/>
    <w:next w:val="95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87"/>
    <w:basedOn w:val="905"/>
    <w:next w:val="95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88"/>
    <w:basedOn w:val="905"/>
    <w:next w:val="954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89"/>
    <w:basedOn w:val="905"/>
    <w:next w:val="955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0"/>
    <w:basedOn w:val="905"/>
    <w:next w:val="956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1"/>
    <w:basedOn w:val="905"/>
    <w:next w:val="95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2"/>
    <w:basedOn w:val="905"/>
    <w:next w:val="95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93"/>
    <w:basedOn w:val="905"/>
    <w:next w:val="95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>
    <w:name w:val="xl94"/>
    <w:basedOn w:val="905"/>
    <w:next w:val="960"/>
    <w:link w:val="9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5"/>
    <w:basedOn w:val="905"/>
    <w:next w:val="96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6"/>
    <w:basedOn w:val="905"/>
    <w:next w:val="96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7"/>
    <w:basedOn w:val="905"/>
    <w:next w:val="96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98"/>
    <w:basedOn w:val="905"/>
    <w:next w:val="964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>
    <w:name w:val="xl99"/>
    <w:basedOn w:val="905"/>
    <w:next w:val="965"/>
    <w:link w:val="9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100"/>
    <w:basedOn w:val="905"/>
    <w:next w:val="96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1"/>
    <w:basedOn w:val="905"/>
    <w:next w:val="96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2"/>
    <w:basedOn w:val="905"/>
    <w:next w:val="96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3"/>
    <w:basedOn w:val="905"/>
    <w:next w:val="96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4"/>
    <w:basedOn w:val="905"/>
    <w:next w:val="97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5"/>
    <w:basedOn w:val="905"/>
    <w:next w:val="97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6"/>
    <w:basedOn w:val="905"/>
    <w:next w:val="97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>
    <w:name w:val="xl107"/>
    <w:basedOn w:val="905"/>
    <w:next w:val="97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8"/>
    <w:basedOn w:val="905"/>
    <w:next w:val="974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9"/>
    <w:basedOn w:val="905"/>
    <w:next w:val="975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0"/>
    <w:basedOn w:val="905"/>
    <w:next w:val="97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1"/>
    <w:basedOn w:val="905"/>
    <w:next w:val="977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2"/>
    <w:basedOn w:val="905"/>
    <w:next w:val="978"/>
    <w:link w:val="9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>
    <w:name w:val="xl113"/>
    <w:basedOn w:val="905"/>
    <w:next w:val="97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4"/>
    <w:basedOn w:val="905"/>
    <w:next w:val="980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5"/>
    <w:basedOn w:val="905"/>
    <w:next w:val="981"/>
    <w:link w:val="9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>
    <w:name w:val="xl116"/>
    <w:basedOn w:val="905"/>
    <w:next w:val="982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7"/>
    <w:basedOn w:val="905"/>
    <w:next w:val="983"/>
    <w:link w:val="9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8"/>
    <w:basedOn w:val="905"/>
    <w:next w:val="98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9"/>
    <w:basedOn w:val="905"/>
    <w:next w:val="985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0"/>
    <w:basedOn w:val="905"/>
    <w:next w:val="98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1"/>
    <w:basedOn w:val="905"/>
    <w:next w:val="98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2"/>
    <w:basedOn w:val="905"/>
    <w:next w:val="98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23"/>
    <w:basedOn w:val="905"/>
    <w:next w:val="98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>
    <w:name w:val="xl124"/>
    <w:basedOn w:val="905"/>
    <w:next w:val="99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5"/>
    <w:basedOn w:val="905"/>
    <w:next w:val="99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>
    <w:name w:val="Нет списка2"/>
    <w:next w:val="910"/>
    <w:link w:val="905"/>
    <w:uiPriority w:val="99"/>
    <w:semiHidden/>
    <w:unhideWhenUsed/>
  </w:style>
  <w:style w:type="numbering" w:styleId="993">
    <w:name w:val="Нет списка3"/>
    <w:next w:val="910"/>
    <w:link w:val="905"/>
    <w:uiPriority w:val="99"/>
    <w:semiHidden/>
    <w:unhideWhenUsed/>
  </w:style>
  <w:style w:type="paragraph" w:styleId="994">
    <w:name w:val="font6"/>
    <w:basedOn w:val="905"/>
    <w:next w:val="994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>
    <w:name w:val="font7"/>
    <w:basedOn w:val="905"/>
    <w:next w:val="995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>
    <w:name w:val="font8"/>
    <w:basedOn w:val="905"/>
    <w:next w:val="996"/>
    <w:link w:val="9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>
    <w:name w:val="Нет списка4"/>
    <w:next w:val="910"/>
    <w:link w:val="905"/>
    <w:uiPriority w:val="99"/>
    <w:semiHidden/>
    <w:unhideWhenUsed/>
  </w:style>
  <w:style w:type="paragraph" w:styleId="998">
    <w:name w:val="Абзац списка"/>
    <w:basedOn w:val="905"/>
    <w:next w:val="998"/>
    <w:link w:val="9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9">
    <w:name w:val="Нижний колонтитул Знак"/>
    <w:next w:val="999"/>
    <w:link w:val="914"/>
    <w:uiPriority w:val="99"/>
  </w:style>
  <w:style w:type="paragraph" w:styleId="1000">
    <w:name w:val="style5"/>
    <w:basedOn w:val="905"/>
    <w:next w:val="1000"/>
    <w:link w:val="905"/>
    <w:pPr>
      <w:spacing w:before="100" w:beforeAutospacing="1" w:after="100" w:afterAutospacing="1"/>
    </w:pPr>
    <w:rPr>
      <w:rFonts w:ascii="Arial" w:hAnsi="Arial" w:cs="Arial"/>
    </w:rPr>
  </w:style>
  <w:style w:type="table" w:styleId="1001">
    <w:name w:val="Сетка таблицы1"/>
    <w:basedOn w:val="909"/>
    <w:next w:val="948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  <w:style w:type="paragraph" w:styleId="1005" w:customStyle="1">
    <w:name w:val="Normal (Web)"/>
    <w:basedOn w:val="94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adzr@perm.permkrai.ru" TargetMode="External"/><Relationship Id="rId16" Type="http://schemas.openxmlformats.org/officeDocument/2006/relationships/hyperlink" Target="mailto:air@perm.permkrai.ru" TargetMode="External"/><Relationship Id="rId17" Type="http://schemas.openxmlformats.org/officeDocument/2006/relationships/hyperlink" Target="mailto:akir@perm.permkrai.ru" TargetMode="External"/><Relationship Id="rId18" Type="http://schemas.openxmlformats.org/officeDocument/2006/relationships/hyperlink" Target="mailto:amtv@perm.permkrai.ru" TargetMode="External"/><Relationship Id="rId19" Type="http://schemas.openxmlformats.org/officeDocument/2006/relationships/hyperlink" Target="mailto:aord@perm.permkrai.ru" TargetMode="External"/><Relationship Id="rId20" Type="http://schemas.openxmlformats.org/officeDocument/2006/relationships/hyperlink" Target="mailto:asvr@perm.permkrai.ru" TargetMode="External"/><Relationship Id="rId21" Type="http://schemas.openxmlformats.org/officeDocument/2006/relationships/hyperlink" Target="mailto:anld@perm.permkrai.ru" TargetMode="External"/><Relationship Id="rId2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23</cp:revision>
  <dcterms:created xsi:type="dcterms:W3CDTF">2024-04-08T07:08:00Z</dcterms:created>
  <dcterms:modified xsi:type="dcterms:W3CDTF">2025-04-23T08:23:36Z</dcterms:modified>
  <cp:version>917504</cp:version>
</cp:coreProperties>
</file>