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40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 </w:t>
        <w:br/>
        <w:t xml:space="preserve">и проекта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межевания территории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  <w:sz w:val="28"/>
          <w:szCs w:val="28"/>
        </w:rPr>
      </w:r>
      <w:r>
        <w:rPr>
          <w:b/>
          <w:bCs/>
          <w:szCs w:val="28"/>
        </w:rPr>
        <w:t xml:space="preserve">в микрорайоне «Дом культуры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  <w:szCs w:val="28"/>
        </w:rPr>
        <w:t xml:space="preserve">железнодорожников» </w:t>
      </w:r>
      <w:r>
        <w:rPr>
          <w:b/>
          <w:bCs/>
          <w:szCs w:val="28"/>
        </w:rPr>
        <w:t xml:space="preserve">в Дзержинском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  <w:szCs w:val="28"/>
        </w:rPr>
        <w:t xml:space="preserve">районе города Перми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left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  <w:br/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09 апреля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31-02-1-4-1105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</w:t>
      </w:r>
      <w:r>
        <w:rPr>
          <w:sz w:val="28"/>
          <w:szCs w:val="28"/>
        </w:rPr>
        <w:t xml:space="preserve"> в микрорайоне «Дом культуры железнодорожников» в Дзержинском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</w:t>
        <w:br/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</w:t>
        <w:br/>
        <w:t xml:space="preserve">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16 апреля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№ </w:t>
      </w:r>
      <w:r>
        <w:rPr>
          <w:sz w:val="28"/>
          <w:szCs w:val="28"/>
        </w:rPr>
        <w:t xml:space="preserve">Ивн31-02-1-21-737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 </w:t>
      </w:r>
      <w:r>
        <w:rPr>
          <w:sz w:val="28"/>
          <w:szCs w:val="28"/>
        </w:rPr>
        <w:t xml:space="preserve">в микрорайоне «Дом культуры железнодорожников» </w:t>
        <w:br/>
        <w:t xml:space="preserve">в Дзержинском районе города Перми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</w:t>
      </w:r>
      <w:r>
        <w:rPr>
          <w:sz w:val="28"/>
          <w:szCs w:val="28"/>
        </w:rPr>
        <w:t xml:space="preserve">а Российской Федерации от 09 апреля 2025 г.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</w:t>
      </w:r>
      <w:r>
        <w:rPr>
          <w:sz w:val="28"/>
          <w:szCs w:val="28"/>
        </w:rPr>
        <w:t xml:space="preserve"> в микрорайоне «Дом культуры железнодорожников» в Дзержинском районе города Перми </w:t>
      </w:r>
      <w:r>
        <w:rPr>
          <w:sz w:val="28"/>
          <w:szCs w:val="28"/>
        </w:rPr>
        <w:t xml:space="preserve">(далее − Проект).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Дзержинского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t xml:space="preserve">их </w:t>
        <w:br/>
        <w:t xml:space="preserve">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13 мая 2025 г. </w:t>
      </w:r>
      <w:r>
        <w:rPr>
          <w:sz w:val="28"/>
          <w:szCs w:val="28"/>
        </w:rPr>
        <w:br/>
        <w:t xml:space="preserve">по 16 мая 2025 г.: вторник-четверг – с 09.00 час. до 18.00 час.</w:t>
      </w:r>
      <w:r>
        <w:rPr>
          <w:sz w:val="28"/>
          <w:szCs w:val="28"/>
        </w:rPr>
        <w:t xml:space="preserve">, пятница – </w:t>
      </w:r>
      <w:r>
        <w:rPr>
          <w:sz w:val="28"/>
          <w:szCs w:val="28"/>
        </w:rPr>
        <w:t xml:space="preserve">с 09.00 час. до 17.00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614</w:t>
      </w:r>
      <w:r>
        <w:rPr>
          <w:color w:val="000000"/>
          <w:sz w:val="28"/>
          <w:szCs w:val="28"/>
        </w:rPr>
        <w:t xml:space="preserve">068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г. Пермь, 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t xml:space="preserve"> 13 мая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17.20 час. до 17.40 час. по адресу: </w:t>
      </w:r>
      <w:r>
        <w:rPr>
          <w:color w:val="000000"/>
          <w:sz w:val="28"/>
          <w:szCs w:val="28"/>
        </w:rPr>
        <w:t xml:space="preserve">6140</w:t>
      </w:r>
      <w:r>
        <w:rPr>
          <w:color w:val="000000"/>
          <w:sz w:val="28"/>
          <w:szCs w:val="28"/>
        </w:rPr>
        <w:t xml:space="preserve">68</w:t>
      </w:r>
      <w:r>
        <w:rPr>
          <w:color w:val="000000"/>
          <w:sz w:val="28"/>
          <w:szCs w:val="28"/>
        </w:rPr>
        <w:t xml:space="preserve">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</w:t>
        <w:br/>
      </w:r>
      <w:r>
        <w:rPr>
          <w:color w:val="000000"/>
          <w:sz w:val="28"/>
          <w:szCs w:val="28"/>
        </w:rPr>
        <w:t xml:space="preserve">каб. 12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13 мая 2025 г. по 16 мая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16 мая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15</cp:revision>
  <dcterms:created xsi:type="dcterms:W3CDTF">2024-10-25T06:16:00Z</dcterms:created>
  <dcterms:modified xsi:type="dcterms:W3CDTF">2025-04-30T05:36:26Z</dcterms:modified>
</cp:coreProperties>
</file>