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224726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318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6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318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</w:pPr>
      <w:r/>
      <w:r/>
    </w:p>
    <w:p>
      <w:pPr>
        <w:pStyle w:val="966"/>
      </w:pPr>
      <w:r/>
      <w:r/>
    </w:p>
    <w:p>
      <w:pPr>
        <w:ind w:right="4953"/>
        <w:spacing w:line="240" w:lineRule="exact"/>
        <w:rPr>
          <w:b/>
          <w:sz w:val="28"/>
          <w:szCs w:val="28"/>
        </w:rPr>
      </w:pPr>
      <w:r/>
      <w:bookmarkStart w:id="0" w:name="_Hlk180405808"/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/>
      <w:bookmarkStart w:id="1" w:name="_Hlk180238588"/>
      <w:r>
        <w:rPr>
          <w:b/>
          <w:sz w:val="28"/>
          <w:szCs w:val="28"/>
        </w:rPr>
        <w:t xml:space="preserve">определения объема </w:t>
      </w:r>
      <w:r>
        <w:rPr>
          <w:b/>
          <w:sz w:val="28"/>
          <w:szCs w:val="28"/>
        </w:rPr>
        <w:t xml:space="preserve">и условий </w:t>
        <w:br/>
        <w:t xml:space="preserve">предоставления бюджетным </w:t>
        <w:br/>
        <w:t xml:space="preserve">и автономным учреждениям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на иные цели </w:t>
      </w:r>
      <w:bookmarkStart w:id="2" w:name="_Hlk180239630"/>
      <w:r>
        <w:rPr>
          <w:b/>
          <w:sz w:val="28"/>
          <w:szCs w:val="28"/>
        </w:rPr>
        <w:t xml:space="preserve">на оснащение </w:t>
        <w:br/>
        <w:t xml:space="preserve">оборудованием муниципальных </w:t>
        <w:br/>
        <w:t xml:space="preserve">дворцов культуры, центров досуга, клубов</w:t>
      </w:r>
      <w:bookmarkEnd w:id="2"/>
      <w:r>
        <w:rPr>
          <w:b/>
          <w:sz w:val="28"/>
          <w:szCs w:val="28"/>
        </w:rPr>
        <w:t xml:space="preserve"> </w:t>
      </w:r>
      <w:bookmarkEnd w:id="0"/>
      <w:r/>
      <w:bookmarkEnd w:id="1"/>
      <w:r>
        <w:rPr>
          <w:b/>
          <w:bCs/>
        </w:rPr>
      </w:r>
      <w:r>
        <w:rPr>
          <w:b/>
          <w:bCs/>
        </w:rPr>
      </w:r>
    </w:p>
    <w:p>
      <w:pPr>
        <w:pStyle w:val="96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6"/>
      </w:pPr>
      <w:r/>
      <w:r/>
    </w:p>
    <w:p>
      <w:pPr>
        <w:pStyle w:val="966"/>
      </w:pPr>
      <w:r/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постановлениями Правительства Пермского края </w:t>
      </w:r>
      <w:r>
        <w:rPr>
          <w:sz w:val="28"/>
          <w:szCs w:val="28"/>
        </w:rPr>
        <w:t xml:space="preserve">от 13 февраля 2025 г. № 108-п «Об утверждении Порядка предоставления субсидии из бюджета Пермского края бюджетам муниципальных образований Пермского края на оснащение оборудованием муниципальных дворцов культуры, центров д</w:t>
      </w:r>
      <w:r>
        <w:rPr>
          <w:sz w:val="28"/>
          <w:szCs w:val="28"/>
        </w:rPr>
        <w:t xml:space="preserve">осуга, клубов», от 04 апреля 2025 г. № 249-п «Об утверждении распределения субсидий из бюджета Пермского края бюджетам муниципальных образований Пермского края на оснащение оборудованием муниципальных дворцов культуры, центров досуга, клубов в 2025 году»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бюджетным и автономным учреждениям субсидий на иные цели на оснащение оборудованием муниципальных дворцов культуры, центров досуга, клубов.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71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71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71"/>
      </w:pPr>
      <w:r>
        <w:t xml:space="preserve">5. Контроль за исполнением настоящего постановления возложить </w:t>
      </w:r>
      <w:r>
        <w:br/>
        <w:t xml:space="preserve">на заместителя главы администрации города Перми Мальцеву Е.Д.</w:t>
      </w:r>
      <w:r/>
    </w:p>
    <w:p>
      <w:pPr>
        <w:pStyle w:val="971"/>
      </w:pPr>
      <w:r/>
      <w:r/>
    </w:p>
    <w:p>
      <w:pPr>
        <w:pStyle w:val="971"/>
      </w:pPr>
      <w:r/>
      <w:r/>
    </w:p>
    <w:p>
      <w:pPr>
        <w:pStyle w:val="971"/>
      </w:pPr>
      <w:r/>
      <w:r/>
    </w:p>
    <w:p>
      <w:pPr>
        <w:pStyle w:val="971"/>
        <w:ind w:firstLine="0"/>
        <w:jc w:val="left"/>
        <w:spacing w:line="238" w:lineRule="exact"/>
      </w:pPr>
      <w:r>
        <w:t xml:space="preserve">И.о. Главы города Перми                                                                   </w:t>
      </w:r>
      <w:r>
        <w:t xml:space="preserve">    Д.К. Галиханов</w:t>
      </w:r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</w:pPr>
      <w:r/>
      <w:r/>
    </w:p>
    <w:p>
      <w:pPr>
        <w:pStyle w:val="971"/>
        <w:ind w:firstLine="0"/>
        <w:sectPr>
          <w:headerReference w:type="default" r:id="rId9"/>
          <w:footerReference w:type="first" r:id="rId13"/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  <w:br/>
        <w:t xml:space="preserve">города Перми </w:t>
      </w:r>
      <w:r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13.05.2025 № 318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предоставления бюджетным и автономным учреждениям субсидий на иные цели </w:t>
      </w:r>
      <w:bookmarkStart w:id="3" w:name="_Hlk180244803"/>
      <w:r>
        <w:rPr>
          <w:b/>
          <w:sz w:val="28"/>
          <w:szCs w:val="28"/>
        </w:rPr>
        <w:t xml:space="preserve">на оснащение оборудованием </w:t>
        <w:br/>
        <w:t xml:space="preserve">муниципальных дворцов культуры, центров досуга, клубов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 о предоставлении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32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>
        <w:rPr>
          <w:sz w:val="28"/>
          <w:szCs w:val="28"/>
        </w:rPr>
        <w:t xml:space="preserve">определения объема и условий предоставления бюджетным и автономным учреждениям субсидий на иные цели на оснащение оборудованием муниципальных дворцов культуры, центров досуга, клубов </w:t>
      </w:r>
      <w:r>
        <w:rPr>
          <w:sz w:val="28"/>
          <w:szCs w:val="28"/>
        </w:rPr>
        <w:t xml:space="preserve">определяет объем и условия предоставления субсидий на иные цели на оснащение оборудованием муниципальных дворцов культуры, центров досуга, клубов бюджетным и автономным учреждениям, </w:t>
      </w:r>
      <w:r>
        <w:rPr>
          <w:sz w:val="28"/>
          <w:szCs w:val="28"/>
        </w:rPr>
        <w:t xml:space="preserve">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Целью предоставления </w:t>
      </w:r>
      <w:r>
        <w:rPr>
          <w:sz w:val="28"/>
          <w:szCs w:val="28"/>
        </w:rPr>
        <w:t xml:space="preserve">субсидий на иные цели является реализация мероприятий по оснащению муниципальных дворцов культуры, центров досуга, клубов оборудованием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необходимым для проведения культурно-зрелищных мероприятий для населения города Перми в рамках выполнения муниципальной программы «Культура и молодежная политика города Перми» (далее – муниципальная программа).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предоставляются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пределах бюджетных ассигнований и лимитов бюджетных обязательств на 2025 год </w:t>
      </w:r>
      <w:r>
        <w:rPr>
          <w:sz w:val="28"/>
          <w:szCs w:val="28"/>
        </w:rPr>
        <w:t xml:space="preserve">на основании сводно</w:t>
      </w:r>
      <w:r>
        <w:rPr>
          <w:sz w:val="28"/>
          <w:szCs w:val="28"/>
        </w:rPr>
        <w:t xml:space="preserve">й бюджетной росписи бюджета города Перми за счет средств бюджета Пермского края и бюджета города Перми в рамках реализации мероприятий муниципальной программы на оснащение оборудованием, в том числе сценическим, звуковым, осветительным и видеопроекционным.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Для получения субсидий на иные цели Учреждени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направля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в Департамент: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расчет-обоснование суммы субсидий на иные цели на оснащение оборудованием муниципальных дворцов культуры, центров досуга, клубов согласно приложению к настоящему Порядку;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информацию о первоочередной необходимости обеспечения оборудованием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планируемом к приобретению имуществе (оборудования сценического, звукового, осветительного и видеопроекционного);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расходов на оснащение оборудованием с обоснованием цен, включенных в смету на основании прайс-листов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коммерческих предложений с приложением не менее трех ценовых информаций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Учреждения задолженности </w:t>
      </w:r>
      <w:r>
        <w:rPr>
          <w:sz w:val="28"/>
          <w:szCs w:val="28"/>
        </w:rPr>
        <w:t xml:space="preserve">по уплате налогов, сборов и иных обязательных платежей в бюджеты бюджетной системы Российской Федерации.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zh-CN"/>
        </w:rPr>
        <w:t xml:space="preserve">Рассмотрение и проверка документов на полноту их представления </w:t>
      </w:r>
      <w:r>
        <w:rPr>
          <w:sz w:val="28"/>
          <w:szCs w:val="28"/>
          <w:lang w:eastAsia="zh-CN"/>
        </w:rPr>
        <w:br/>
        <w:t xml:space="preserve">в соответствии с пунктом 2.1 настоящего Порядка осуществляется Департаментом в течение 10 рабочих дней с даты их представления.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Требования, которым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должн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предоставлении субсидий </w:t>
      </w:r>
      <w:r>
        <w:rPr>
          <w:sz w:val="28"/>
          <w:szCs w:val="28"/>
        </w:rPr>
        <w:t xml:space="preserve">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t xml:space="preserve">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</w:t>
      </w:r>
      <w:r>
        <w:rPr>
          <w:sz w:val="28"/>
          <w:szCs w:val="28"/>
        </w:rPr>
        <w:t xml:space="preserve">ием</w:t>
      </w:r>
      <w:r>
        <w:rPr>
          <w:sz w:val="28"/>
          <w:szCs w:val="28"/>
        </w:rPr>
        <w:t xml:space="preserve">,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color w:val="000000"/>
          <w:sz w:val="28"/>
          <w:szCs w:val="28"/>
          <w:shd w:val="clear" w:color="auto" w:fill="ffffff"/>
        </w:rPr>
        <w:t xml:space="preserve">Размер субсидий на иные цели определяется на основании перечня необходимого Учреждению оборудования и сметы расходов с обоснованием цен, включенных в смету на основании прайс-листов, коммерческих предложений с приложением не менее трех ценовых информаций.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Перми, заключенным</w:t>
      </w:r>
      <w:r>
        <w:rPr>
          <w:sz w:val="28"/>
          <w:szCs w:val="28"/>
        </w:rPr>
        <w:t xml:space="preserve"> между Департаментом и Учреждением (далее – Соглашение) </w:t>
      </w:r>
      <w:bookmarkStart w:id="4" w:name="_Hlk195799978"/>
      <w:r>
        <w:rPr>
          <w:sz w:val="28"/>
          <w:szCs w:val="28"/>
        </w:rPr>
        <w:t xml:space="preserve">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Департаментом не позднее </w:t>
      </w:r>
      <w:r>
        <w:rPr>
          <w:sz w:val="28"/>
          <w:szCs w:val="28"/>
        </w:rPr>
        <w:t xml:space="preserve">15 рабочих дней со дня вступления в силу настоящего постановления.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Соглашений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сводной бюджетной росписи бюджета города Перми на текущий финансовый год и в муниципальной программе.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сводную бюджетную роспись, муниципальную программу, требующих внесения изменений </w:t>
      </w:r>
      <w:r>
        <w:rPr>
          <w:sz w:val="28"/>
          <w:szCs w:val="28"/>
        </w:rPr>
        <w:t xml:space="preserve"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сроки, установленные Соглашением. Периодичность перечисления субсидий на иные цели – </w:t>
        <w:br/>
        <w:t xml:space="preserve">по мере поступления бюджетных средств из бюджета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предоставляются путем перечисления Департаментом денежных средств на отдельный лицевой счет, открытый </w:t>
        <w:br/>
        <w:t xml:space="preserve">в департаменте финансов администрации города Перми, </w:t>
      </w:r>
      <w:r>
        <w:rPr>
          <w:sz w:val="28"/>
          <w:szCs w:val="28"/>
        </w:rPr>
        <w:t xml:space="preserve">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2.13. Результатом предоставления субсидий на иные цели является количество муниципальных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чреждений культурно-досугового типа, которыми реализованы мероприятия и количество приобретенного оборудования </w:t>
      </w:r>
      <w:r>
        <w:rPr>
          <w:sz w:val="28"/>
          <w:szCs w:val="28"/>
        </w:rPr>
        <w:t xml:space="preserve">для осуществления творческой деятельности, в том числе сценического, звукового, осветительного </w:t>
        <w:br/>
        <w:t xml:space="preserve">и видеопроекционного, которое приобретено для муниципальных дворцов культуры, центров досуга, клубов в рамках выполнения мероприятий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результата предоставления субсидий </w:t>
        <w:br/>
      </w:r>
      <w:r>
        <w:rPr>
          <w:sz w:val="28"/>
          <w:szCs w:val="28"/>
        </w:rPr>
        <w:t xml:space="preserve">на иные цели устанавливается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spacing w:line="30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30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 xml:space="preserve">Учреждени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по форме, установленной в Соглашении, представля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в Департамент следующие отчеты (далее – Отчеты):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реализации плана мероприятий п</w:t>
      </w:r>
      <w:r>
        <w:rPr>
          <w:bCs/>
          <w:sz w:val="28"/>
          <w:szCs w:val="28"/>
        </w:rPr>
        <w:t xml:space="preserve">о достижению </w:t>
      </w:r>
      <w:r>
        <w:rPr>
          <w:bCs/>
          <w:sz w:val="28"/>
          <w:szCs w:val="28"/>
        </w:rPr>
        <w:t xml:space="preserve">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t xml:space="preserve">и достоверностью отчетных данных возлагается на руководител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 имеет право устанавливать в Соглашении формы представления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дополнительной отчетности и сроки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осуществления контроля за соблюдением целей, </w:t>
      </w:r>
      <w:r>
        <w:rPr>
          <w:b/>
          <w:sz w:val="28"/>
          <w:szCs w:val="28"/>
        </w:rPr>
        <w:br/>
        <w:t xml:space="preserve">условий и порядка предоставления субсидий на иные цели и ответственность </w:t>
      </w:r>
      <w:r>
        <w:rPr>
          <w:b/>
          <w:sz w:val="28"/>
          <w:szCs w:val="28"/>
        </w:rPr>
        <w:br/>
        <w:t xml:space="preserve">за их несоблюдение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30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проводит</w:t>
      </w:r>
      <w:r>
        <w:rPr>
          <w:sz w:val="28"/>
          <w:szCs w:val="28"/>
        </w:rPr>
        <w:t xml:space="preserve">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цели, определенных Соглашением (контрольная точка), </w:t>
      </w:r>
      <w:r>
        <w:rPr>
          <w:sz w:val="28"/>
          <w:szCs w:val="28"/>
        </w:rPr>
        <w:t xml:space="preserve">в порядке и по формам, установленным Порядком проведения мониторинга достижения результатов предоставления субсидий, в том числе грантов в форме суб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</w:t>
        <w:br/>
        <w:t xml:space="preserve">от 27 апреля 2024 г. № 53н.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ответственность за несоблюдение целей и условий их предоставления, установленных настоящим Порядком.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</w:t>
      </w:r>
      <w:r>
        <w:rPr>
          <w:sz w:val="28"/>
          <w:szCs w:val="28"/>
        </w:rPr>
        <w:t xml:space="preserve">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требования о возврате субсидий </w:t>
      </w:r>
      <w:r>
        <w:rPr>
          <w:sz w:val="28"/>
          <w:szCs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t xml:space="preserve">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предоставлений субсидий на иные цели, установленного пунктом 2.13 настоящего Порядка, субсидии на иные цели подлежат возврату в доход бюджета в течение 25 рабочих дней 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/>
      <w:bookmarkStart w:id="5" w:name="Par0"/>
      <w:r/>
      <w:bookmarkEnd w:id="5"/>
      <w:r>
        <w:rPr>
          <w:sz w:val="28"/>
          <w:szCs w:val="28"/>
        </w:rPr>
        <w:t xml:space="preserve">4.5. Остатки субсидий на иные цели, предоставленных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 доход бюджета города Перми, возвращаются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 в очередном финансовом году при наличии потребности в направлении их на те же цели на основании </w:t>
      </w:r>
      <w:r>
        <w:rPr>
          <w:sz w:val="28"/>
          <w:szCs w:val="28"/>
        </w:rPr>
        <w:t xml:space="preserve">запросов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соответствии с решением Департамента, оформленным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запросов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представленных </w:t>
      </w:r>
      <w:r>
        <w:rPr>
          <w:sz w:val="28"/>
          <w:szCs w:val="28"/>
        </w:rPr>
        <w:t xml:space="preserve">в Департамент в </w:t>
      </w:r>
      <w:r>
        <w:rPr>
          <w:sz w:val="28"/>
          <w:szCs w:val="28"/>
        </w:rPr>
        <w:t xml:space="preserve">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sz w:val="28"/>
          <w:szCs w:val="28"/>
        </w:rPr>
        <w:t xml:space="preserve">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  <w:szCs w:val="28"/>
        </w:rPr>
        <w:t xml:space="preserve">и не подлежат возврату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</w:r>
      <w:r>
        <w:rPr>
          <w:sz w:val="28"/>
          <w:szCs w:val="28"/>
        </w:rPr>
        <w:t xml:space="preserve">не перечислены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 доход бюджета города Перми в сроки, установленные абзацем первым настоящего пункта, то они подлежат взысканию </w:t>
      </w:r>
      <w:r>
        <w:rPr>
          <w:sz w:val="28"/>
          <w:szCs w:val="28"/>
        </w:rPr>
        <w:t xml:space="preserve">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Неиспользованные остатки субсидий на иные цели, предоставленные </w:t>
      </w:r>
      <w:r>
        <w:rPr>
          <w:sz w:val="28"/>
          <w:szCs w:val="28"/>
        </w:rPr>
        <w:t xml:space="preserve">из бюджета Пермского края, в отношении которых не принято решение </w:t>
      </w:r>
      <w:r>
        <w:rPr>
          <w:sz w:val="28"/>
          <w:szCs w:val="28"/>
        </w:rPr>
        <w:t xml:space="preserve">о направлении их на те же цели в текущем финансовом году, подлежат возврату </w:t>
      </w:r>
      <w:r>
        <w:rPr>
          <w:sz w:val="28"/>
          <w:szCs w:val="28"/>
        </w:rPr>
        <w:t xml:space="preserve">в бюджет города Перми с последующим возвратом в установленном порядке </w:t>
      </w:r>
      <w:r>
        <w:rPr>
          <w:sz w:val="28"/>
          <w:szCs w:val="28"/>
        </w:rPr>
        <w:t xml:space="preserve">в бюджет Пермского края не позднее первых 15 рабочих дней текущего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 случае если расходы автономного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чреждения, источником финансового обеспечения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должны являться субсидии на иные цели, осуществлены за счет средств этого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чреждения, получаемых автономным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чреждением </w:t>
        <w:br/>
        <w:t xml:space="preserve">от приносящей доход деятельности, и со средствами, поступающими автономному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чреждению на финансовое обеспечение выполнения им муниципального задания, автономное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 вправе осуществить возмещение указанных расходов </w:t>
        <w:br/>
        <w:t xml:space="preserve">за счет субсидий на иные цели после проверки документов, подтверждающих подлежащие возмещению расходы.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расходы бюджетного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</w:rPr>
        <w:t xml:space="preserve">за счет средств этого учреждения, получаемых бюджетным учреждением </w:t>
      </w:r>
      <w:r>
        <w:rPr>
          <w:sz w:val="28"/>
          <w:szCs w:val="28"/>
        </w:rPr>
        <w:t xml:space="preserve">от приносящей доход деятельности, и со средствами, поступающими бюджетному учреждению на финансовое обеспечение выполнения им муниципального задания, бюджетное учреждение вправе осуществить возмещение указанных расходов </w:t>
      </w:r>
      <w:r>
        <w:rPr>
          <w:sz w:val="28"/>
          <w:szCs w:val="28"/>
        </w:rPr>
        <w:t xml:space="preserve">за счет субсид</w:t>
      </w:r>
      <w:r>
        <w:rPr>
          <w:sz w:val="28"/>
          <w:szCs w:val="28"/>
        </w:rPr>
        <w:t xml:space="preserve">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Учреждения осуществляется после согласования их возмещения Департаментом в порядке, утвержденном правовым актом начальника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поступления средств от возврата ранее произведенных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выплат, источником финанс</w:t>
      </w:r>
      <w:r>
        <w:rPr>
          <w:sz w:val="28"/>
          <w:szCs w:val="28"/>
        </w:rPr>
        <w:t xml:space="preserve">ового обеспечения которых являются субсидии на иные цели, для достижения целей, установленных при предоставлении субсидий на иные цели, Департамент в течение 30 рабочих дней с момента их поступления принимает решение путем издания приказа об использовании </w:t>
      </w:r>
      <w:r>
        <w:rPr>
          <w:sz w:val="28"/>
          <w:szCs w:val="28"/>
        </w:rPr>
        <w:t xml:space="preserve">в текущем финансовом году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итогам рассмотрения запросов, представленных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 Департамент в течение </w:t>
        <w:br/>
        <w:t xml:space="preserve">30 рабочих дней с момента поступления средств в Учреждения и отражающих нео</w:t>
      </w:r>
      <w:r>
        <w:rPr>
          <w:sz w:val="28"/>
          <w:szCs w:val="28"/>
        </w:rPr>
        <w:t xml:space="preserve">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300" w:lineRule="exact"/>
        <w:rPr>
          <w:sz w:val="28"/>
          <w:szCs w:val="28"/>
        </w:rPr>
      </w:pPr>
      <w:r/>
      <w:bookmarkStart w:id="6" w:name="_Hlk180251535"/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</w:t>
      </w:r>
      <w:r>
        <w:rPr>
          <w:sz w:val="28"/>
          <w:szCs w:val="28"/>
        </w:rPr>
        <w:br/>
        <w:t xml:space="preserve">бюджетным и автономным </w:t>
      </w:r>
      <w:r>
        <w:rPr>
          <w:sz w:val="28"/>
          <w:szCs w:val="28"/>
        </w:rPr>
        <w:br/>
        <w:t xml:space="preserve">учреждениям субсидий на иные цели на оснащение оборудованием муниципальных дворцов </w:t>
        <w:br/>
        <w:t xml:space="preserve">культуры, центров досуга, клубов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sz w:val="28"/>
          <w:szCs w:val="28"/>
        </w:rPr>
        <w:br/>
        <w:t xml:space="preserve">суммы субсидий на иные цели на оснащение оборудованием муниципальных дворцов культуры, центров досуга, клубов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4"/>
        <w:gridCol w:w="2599"/>
        <w:gridCol w:w="2620"/>
        <w:gridCol w:w="1296"/>
        <w:gridCol w:w="1483"/>
        <w:gridCol w:w="1470"/>
      </w:tblGrid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(оборудование сценические, звуковое, осветительное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видеопроекционное)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оборудования сценического, звукового, осветительного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видеопроекционного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Цена,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Количество, ед.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Сумма,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  <w:br/>
      </w:r>
      <w:r>
        <w:rPr>
          <w:sz w:val="28"/>
          <w:szCs w:val="28"/>
        </w:rPr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учреждения: 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1843"/>
        <w:rPr>
          <w:sz w:val="24"/>
          <w:szCs w:val="24"/>
        </w:rPr>
      </w:pPr>
      <w:r>
        <w:rPr>
          <w:sz w:val="24"/>
          <w:szCs w:val="24"/>
        </w:rPr>
        <w:t xml:space="preserve">(подпись, 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(дата заполнения)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separate"/>
    </w:r>
    <w:r>
      <w:rPr>
        <w:rStyle w:val="962"/>
      </w:rPr>
      <w:t xml:space="preserve">2</w: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80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/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rPr>
      <w:lang w:eastAsia="ru-RU"/>
    </w:rPr>
  </w:style>
  <w:style w:type="paragraph" w:styleId="761">
    <w:name w:val="Heading 1"/>
    <w:basedOn w:val="760"/>
    <w:next w:val="760"/>
    <w:link w:val="95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2">
    <w:name w:val="Heading 2"/>
    <w:basedOn w:val="760"/>
    <w:next w:val="760"/>
    <w:link w:val="95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3">
    <w:name w:val="Heading 3"/>
    <w:basedOn w:val="760"/>
    <w:next w:val="760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next w:val="760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760"/>
    <w:next w:val="760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760"/>
    <w:next w:val="760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760"/>
    <w:next w:val="760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760"/>
    <w:next w:val="760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70"/>
    <w:uiPriority w:val="10"/>
    <w:rPr>
      <w:sz w:val="48"/>
      <w:szCs w:val="48"/>
    </w:rPr>
  </w:style>
  <w:style w:type="character" w:styleId="781" w:customStyle="1">
    <w:name w:val="Subtitle Char"/>
    <w:basedOn w:val="770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63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60"/>
    <w:uiPriority w:val="34"/>
    <w:qFormat/>
    <w:pPr>
      <w:contextualSpacing/>
      <w:ind w:left="720"/>
    </w:pPr>
  </w:style>
  <w:style w:type="paragraph" w:styleId="796">
    <w:name w:val="No Spacing"/>
    <w:uiPriority w:val="1"/>
    <w:qFormat/>
  </w:style>
  <w:style w:type="paragraph" w:styleId="797">
    <w:name w:val="Title"/>
    <w:basedOn w:val="760"/>
    <w:next w:val="760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60"/>
    <w:next w:val="760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60"/>
    <w:next w:val="760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60"/>
    <w:next w:val="760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60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06" w:customStyle="1">
    <w:name w:val="Header Char"/>
    <w:uiPriority w:val="99"/>
  </w:style>
  <w:style w:type="paragraph" w:styleId="807">
    <w:name w:val="Footer"/>
    <w:basedOn w:val="760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8" w:customStyle="1">
    <w:name w:val="Footer Char"/>
    <w:uiPriority w:val="99"/>
  </w:style>
  <w:style w:type="paragraph" w:styleId="809">
    <w:name w:val="Caption"/>
    <w:basedOn w:val="760"/>
    <w:next w:val="760"/>
    <w:link w:val="81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0" w:customStyle="1">
    <w:name w:val="Caption Char"/>
    <w:uiPriority w:val="99"/>
  </w:style>
  <w:style w:type="table" w:styleId="81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/>
      <w:u w:val="single"/>
    </w:rPr>
  </w:style>
  <w:style w:type="paragraph" w:styleId="938">
    <w:name w:val="footnote text"/>
    <w:basedOn w:val="760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60"/>
    <w:link w:val="942"/>
    <w:uiPriority w:val="99"/>
    <w:semiHidden/>
    <w:unhideWhenUsed/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60"/>
    <w:next w:val="760"/>
    <w:uiPriority w:val="39"/>
    <w:unhideWhenUsed/>
    <w:pPr>
      <w:spacing w:after="57"/>
    </w:pPr>
  </w:style>
  <w:style w:type="paragraph" w:styleId="945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46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47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48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49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50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51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52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60"/>
    <w:next w:val="760"/>
    <w:uiPriority w:val="99"/>
    <w:unhideWhenUsed/>
  </w:style>
  <w:style w:type="character" w:styleId="955" w:customStyle="1">
    <w:name w:val="Заголовок 1 Знак"/>
    <w:link w:val="761"/>
    <w:rPr>
      <w:sz w:val="24"/>
    </w:rPr>
  </w:style>
  <w:style w:type="character" w:styleId="956" w:customStyle="1">
    <w:name w:val="Заголовок 2 Знак"/>
    <w:link w:val="762"/>
    <w:rPr>
      <w:sz w:val="24"/>
    </w:rPr>
  </w:style>
  <w:style w:type="paragraph" w:styleId="957">
    <w:name w:val="Body Text"/>
    <w:basedOn w:val="760"/>
    <w:link w:val="958"/>
    <w:pPr>
      <w:ind w:right="3117"/>
    </w:pPr>
    <w:rPr>
      <w:rFonts w:ascii="Courier New" w:hAnsi="Courier New"/>
      <w:sz w:val="26"/>
      <w:lang w:val="en-US" w:eastAsia="en-US"/>
    </w:rPr>
  </w:style>
  <w:style w:type="character" w:styleId="958" w:customStyle="1">
    <w:name w:val="Основной текст Знак"/>
    <w:link w:val="957"/>
    <w:rPr>
      <w:rFonts w:ascii="Courier New" w:hAnsi="Courier New"/>
      <w:sz w:val="26"/>
    </w:rPr>
  </w:style>
  <w:style w:type="paragraph" w:styleId="959">
    <w:name w:val="Body Text Indent"/>
    <w:basedOn w:val="760"/>
    <w:link w:val="960"/>
    <w:pPr>
      <w:ind w:right="-1"/>
      <w:jc w:val="both"/>
    </w:pPr>
    <w:rPr>
      <w:sz w:val="26"/>
      <w:lang w:val="en-US" w:eastAsia="en-US"/>
    </w:rPr>
  </w:style>
  <w:style w:type="character" w:styleId="960" w:customStyle="1">
    <w:name w:val="Основной текст с отступом Знак"/>
    <w:link w:val="959"/>
    <w:rPr>
      <w:sz w:val="26"/>
    </w:rPr>
  </w:style>
  <w:style w:type="character" w:styleId="961" w:customStyle="1">
    <w:name w:val="Нижний колонтитул Знак"/>
    <w:basedOn w:val="770"/>
    <w:link w:val="807"/>
    <w:uiPriority w:val="99"/>
  </w:style>
  <w:style w:type="character" w:styleId="962">
    <w:name w:val="page number"/>
    <w:basedOn w:val="770"/>
  </w:style>
  <w:style w:type="character" w:styleId="963" w:customStyle="1">
    <w:name w:val="Верхний колонтитул Знак"/>
    <w:link w:val="805"/>
    <w:uiPriority w:val="99"/>
  </w:style>
  <w:style w:type="paragraph" w:styleId="964">
    <w:name w:val="Balloon Text"/>
    <w:basedOn w:val="760"/>
    <w:link w:val="965"/>
    <w:rPr>
      <w:rFonts w:ascii="Segoe UI" w:hAnsi="Segoe UI"/>
      <w:sz w:val="18"/>
      <w:szCs w:val="18"/>
      <w:lang w:val="en-US" w:eastAsia="en-US"/>
    </w:rPr>
  </w:style>
  <w:style w:type="character" w:styleId="965" w:customStyle="1">
    <w:name w:val="Текст выноски Знак"/>
    <w:link w:val="964"/>
    <w:rPr>
      <w:rFonts w:ascii="Segoe UI" w:hAnsi="Segoe UI" w:cs="Segoe UI"/>
      <w:sz w:val="18"/>
      <w:szCs w:val="18"/>
    </w:rPr>
  </w:style>
  <w:style w:type="paragraph" w:styleId="966" w:customStyle="1">
    <w:name w:val="Форма"/>
    <w:rPr>
      <w:sz w:val="28"/>
      <w:szCs w:val="28"/>
      <w:lang w:eastAsia="ru-RU"/>
    </w:rPr>
  </w:style>
  <w:style w:type="paragraph" w:styleId="96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68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69">
    <w:name w:val="Normal (Web)"/>
    <w:basedOn w:val="76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70" w:customStyle="1">
    <w:name w:val="Стиль1 Знак"/>
    <w:link w:val="971"/>
    <w:rPr>
      <w:sz w:val="28"/>
      <w:szCs w:val="28"/>
    </w:rPr>
  </w:style>
  <w:style w:type="paragraph" w:styleId="971" w:customStyle="1">
    <w:name w:val="Стиль1"/>
    <w:basedOn w:val="760"/>
    <w:link w:val="970"/>
    <w:qFormat/>
    <w:pPr>
      <w:ind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7</cp:revision>
  <dcterms:created xsi:type="dcterms:W3CDTF">2025-05-07T04:42:00Z</dcterms:created>
  <dcterms:modified xsi:type="dcterms:W3CDTF">2025-05-14T05:03:21Z</dcterms:modified>
  <cp:version>1048576</cp:version>
</cp:coreProperties>
</file>