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6647" w14:textId="77777777" w:rsidR="00E04DB2" w:rsidRDefault="002B5583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F73714" w14:textId="77777777" w:rsidR="00E04DB2" w:rsidRDefault="002B5583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3875" cy="666750"/>
                                  <wp:effectExtent l="0" t="0" r="0" b="0"/>
                                  <wp:docPr id="2" name="_x0000_i1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08BC93" w14:textId="77777777" w:rsidR="00E04DB2" w:rsidRDefault="002B5583">
                            <w:pPr>
                              <w:pStyle w:val="14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49374A17" w14:textId="77777777" w:rsidR="00E04DB2" w:rsidRDefault="002B558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14:paraId="69222367" w14:textId="77777777" w:rsidR="00E04DB2" w:rsidRDefault="00E04DB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DB51875" w14:textId="77777777" w:rsidR="00E04DB2" w:rsidRDefault="00E04DB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7782BE1" w14:textId="77777777" w:rsidR="00E04DB2" w:rsidRDefault="00E04DB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28381561" w14:textId="77777777" w:rsidR="00E04DB2" w:rsidRDefault="00E04DB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A98FE63" w14:textId="77777777" w:rsidR="00E04DB2" w:rsidRDefault="00E04DB2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66750"/>
                                <wp:effectExtent l="0" t="0" r="0" b="0"/>
                                <wp:docPr id="2" name="_x0000_i10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28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14:paraId="2A63CEC5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520014E3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682E2094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4CA4BEFB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673F8EA1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0C4FA277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661858E3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4F16FC5E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3FDC7E50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08E68694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0EC58222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4A1E05D4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7CD267AF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2EE0A454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7B0CF8D0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3BB23CA6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3FCD7429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47EE2A27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16D3EB2B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5AF191A8" w14:textId="77777777" w:rsidR="00E04DB2" w:rsidRDefault="00E04DB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14:paraId="006DCD5A" w14:textId="77777777" w:rsidR="00E04DB2" w:rsidRDefault="002B5583">
      <w:pPr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Положение об общественных центрах города Перми, утвержденное решением Пермской городской Думы от 26.06.2012 № 135</w:t>
      </w:r>
    </w:p>
    <w:p w14:paraId="0F6B97B7" w14:textId="77777777" w:rsidR="00E04DB2" w:rsidRDefault="002B5583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14:paraId="2DA80CCB" w14:textId="77777777" w:rsidR="00E04DB2" w:rsidRDefault="002B5583">
      <w:pPr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</w:t>
      </w:r>
      <w:r>
        <w:rPr>
          <w:bCs/>
          <w:sz w:val="28"/>
          <w:szCs w:val="28"/>
          <w:lang w:eastAsia="zh-CN"/>
        </w:rPr>
        <w:t>:</w:t>
      </w:r>
    </w:p>
    <w:p w14:paraId="22FF8766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 (в ре</w:t>
      </w:r>
      <w:r>
        <w:rPr>
          <w:color w:val="000000" w:themeColor="text1"/>
          <w:sz w:val="28"/>
          <w:szCs w:val="28"/>
          <w:lang w:eastAsia="zh-CN"/>
        </w:rPr>
        <w:t>дакции решений Пермской городской Думы от 26.09.2017 № 195, от 26.02.2019 № 40, от 23.06.2020 № 126, от 25.08.2020 № 166, от 15.12.2020 № 279, от 27.04.2021 № 108,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от 24.08.2021 № 198, от 23.08.2022 № 189, от 22.10.2024 № 192, от 28.01.2025 № 16), изменени</w:t>
      </w:r>
      <w:r>
        <w:rPr>
          <w:color w:val="000000" w:themeColor="text1"/>
          <w:sz w:val="28"/>
          <w:szCs w:val="28"/>
          <w:lang w:eastAsia="zh-CN"/>
        </w:rPr>
        <w:t>я:</w:t>
      </w:r>
    </w:p>
    <w:p w14:paraId="3FFA265D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раздел 3 изложить в редакции:</w:t>
      </w:r>
    </w:p>
    <w:p w14:paraId="7A9E98DB" w14:textId="77777777" w:rsidR="00E04DB2" w:rsidRDefault="00E04DB2">
      <w:pPr>
        <w:ind w:firstLine="720"/>
        <w:jc w:val="both"/>
        <w:rPr>
          <w:color w:val="000000" w:themeColor="text1"/>
          <w:sz w:val="28"/>
          <w:szCs w:val="28"/>
        </w:rPr>
      </w:pPr>
    </w:p>
    <w:p w14:paraId="315B14A0" w14:textId="77777777" w:rsidR="00E04DB2" w:rsidRDefault="002B558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3. Порядок создания общественных центров</w:t>
      </w:r>
    </w:p>
    <w:p w14:paraId="0E331CC3" w14:textId="77777777" w:rsidR="00E04DB2" w:rsidRDefault="00E04DB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9E32820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1. С инициативой создания общественного центра вправе выступать Глава города, органы территориального общественного самоуправления по месту предполагаемого размещения, общественные объединения и иные СО НКО, депутаты Думы по соответствующему округу (далее </w:t>
      </w:r>
      <w:r>
        <w:rPr>
          <w:color w:val="000000"/>
          <w:sz w:val="28"/>
          <w:szCs w:val="28"/>
        </w:rPr>
        <w:t>– инициатор).</w:t>
      </w:r>
    </w:p>
    <w:p w14:paraId="7A8731CE" w14:textId="1DCC9F93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Предложение о создании общественного центра (далее – Предложение) должно содержать информацию о помещении, предлагаемом</w:t>
      </w:r>
      <w:r>
        <w:rPr>
          <w:color w:val="000000"/>
          <w:sz w:val="28"/>
          <w:szCs w:val="28"/>
        </w:rPr>
        <w:t xml:space="preserve"> для создания общественного центра, в соответствии с требованиями, установленными пункт</w:t>
      </w:r>
      <w:r w:rsidR="002D37AC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3.11 настоящего Положения, а также о соблюдении условий, предусмотренных пунктом</w:t>
      </w:r>
      <w:r w:rsidR="002D37A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3.13 настоящего Положения</w:t>
      </w:r>
      <w:r>
        <w:rPr>
          <w:color w:val="000000" w:themeColor="text1"/>
          <w:sz w:val="28"/>
          <w:szCs w:val="28"/>
          <w:lang w:eastAsia="zh-CN"/>
        </w:rPr>
        <w:t xml:space="preserve"> 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</w:t>
      </w:r>
      <w:r>
        <w:rPr>
          <w:color w:val="000000"/>
          <w:sz w:val="28"/>
          <w:szCs w:val="28"/>
        </w:rPr>
        <w:t>редлагаемого для размещения общественного центра по договору аренды).</w:t>
      </w:r>
    </w:p>
    <w:p w14:paraId="2F8EB867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Предложение направляется инициатором в территориальный орган, в административных границах осуществления деятельности которого предполагается создание общественного центра, с приложением </w:t>
      </w:r>
      <w:r>
        <w:rPr>
          <w:color w:val="000000"/>
          <w:sz w:val="28"/>
          <w:szCs w:val="28"/>
        </w:rPr>
        <w:t>следующих документов:</w:t>
      </w:r>
    </w:p>
    <w:p w14:paraId="114517F8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письменного мнения депутата, на территории округа которого предполагается осуществление деятельности общественного центра, о целесообразности создания общественного центра;</w:t>
      </w:r>
    </w:p>
    <w:p w14:paraId="22B542B0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результатов изучения общественного мнения на территории, где </w:t>
      </w:r>
      <w:r>
        <w:rPr>
          <w:color w:val="000000"/>
          <w:sz w:val="28"/>
          <w:szCs w:val="28"/>
        </w:rPr>
        <w:t>предполагается осуществление деятельности общественного центра, о необходимости создания общественного центра.</w:t>
      </w:r>
    </w:p>
    <w:p w14:paraId="1ECC1941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3.3.</w:t>
      </w:r>
      <w:r>
        <w:rPr>
          <w:color w:val="000000" w:themeColor="text1"/>
          <w:sz w:val="28"/>
          <w:szCs w:val="28"/>
        </w:rPr>
        <w:t xml:space="preserve"> Территориальный орган в течение трех месяцев со дня получения от инициатора Предложения и документов, указанных в пункте 3.2 настоящего Поло</w:t>
      </w:r>
      <w:r>
        <w:rPr>
          <w:color w:val="000000" w:themeColor="text1"/>
          <w:sz w:val="28"/>
          <w:szCs w:val="28"/>
        </w:rPr>
        <w:t>жения, рассматривает представленные докуме</w:t>
      </w:r>
      <w:r>
        <w:rPr>
          <w:color w:val="000000" w:themeColor="text1"/>
          <w:sz w:val="28"/>
          <w:szCs w:val="28"/>
        </w:rPr>
        <w:t>нты на со</w:t>
      </w:r>
      <w:r>
        <w:rPr>
          <w:color w:val="000000" w:themeColor="text1"/>
          <w:sz w:val="28"/>
          <w:szCs w:val="28"/>
        </w:rPr>
        <w:t>блюдение требований, установленных пунктами 3.1, 3.2, 3.11, 3.13 настоящего Положения</w:t>
      </w:r>
      <w:r>
        <w:rPr>
          <w:color w:val="000000" w:themeColor="text1"/>
          <w:sz w:val="28"/>
          <w:szCs w:val="28"/>
          <w:lang w:eastAsia="zh-CN"/>
        </w:rPr>
        <w:t>.</w:t>
      </w:r>
    </w:p>
    <w:p w14:paraId="16F198C0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3.4. Основаниями для отказа в создании общественного центра являются:</w:t>
      </w:r>
    </w:p>
    <w:p w14:paraId="4D7DB1D3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3.4.1 </w:t>
      </w:r>
      <w:r>
        <w:rPr>
          <w:color w:val="000000" w:themeColor="text1"/>
          <w:sz w:val="28"/>
          <w:szCs w:val="28"/>
        </w:rPr>
        <w:t>несоответствие представленных документов т</w:t>
      </w:r>
      <w:r>
        <w:rPr>
          <w:color w:val="000000" w:themeColor="text1"/>
          <w:sz w:val="28"/>
          <w:szCs w:val="28"/>
        </w:rPr>
        <w:t>ребованиям, установленным пунктами 3.1, 3.2 настоящего Положения,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(или) непредставление (представление не в полном объеме) документов, указанных в пункте 3.2 настоящего Положения;</w:t>
      </w:r>
    </w:p>
    <w:p w14:paraId="6A1BCEB5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3.4.2 </w:t>
      </w:r>
      <w:r>
        <w:rPr>
          <w:color w:val="000000"/>
          <w:sz w:val="28"/>
          <w:szCs w:val="28"/>
        </w:rPr>
        <w:t>отсутствие средств бюджета города Перми по данному виду расходов в </w:t>
      </w:r>
      <w:r>
        <w:rPr>
          <w:color w:val="000000"/>
          <w:sz w:val="28"/>
          <w:szCs w:val="28"/>
        </w:rPr>
        <w:t>объеме, необходимом для аренды помещения;</w:t>
      </w:r>
    </w:p>
    <w:p w14:paraId="47D5D48A" w14:textId="5C654030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3.4.3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соответствие </w:t>
      </w:r>
      <w:r>
        <w:rPr>
          <w:color w:val="000000" w:themeColor="text1"/>
          <w:sz w:val="28"/>
          <w:szCs w:val="28"/>
        </w:rPr>
        <w:t>помещения, предлагаемого для размещения общественного центра,</w:t>
      </w:r>
      <w:r>
        <w:rPr>
          <w:color w:val="000000"/>
          <w:sz w:val="28"/>
          <w:szCs w:val="28"/>
        </w:rPr>
        <w:t xml:space="preserve"> требованиям, предусмотренным пункт</w:t>
      </w:r>
      <w:r w:rsidR="00F204E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3.11 настоящего Положения</w:t>
      </w:r>
      <w:r>
        <w:rPr>
          <w:color w:val="000000" w:themeColor="text1"/>
          <w:sz w:val="28"/>
          <w:szCs w:val="28"/>
        </w:rPr>
        <w:t>;</w:t>
      </w:r>
    </w:p>
    <w:p w14:paraId="7147835A" w14:textId="79643612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3.4.4</w:t>
      </w:r>
      <w:r>
        <w:rPr>
          <w:color w:val="000000"/>
          <w:sz w:val="28"/>
          <w:szCs w:val="28"/>
        </w:rPr>
        <w:t xml:space="preserve"> несоответствие Предложения условиям,</w:t>
      </w:r>
      <w:r>
        <w:rPr>
          <w:color w:val="000000"/>
          <w:sz w:val="28"/>
          <w:szCs w:val="28"/>
        </w:rPr>
        <w:t xml:space="preserve"> предусмотренным пун</w:t>
      </w:r>
      <w:r>
        <w:rPr>
          <w:color w:val="000000"/>
          <w:sz w:val="28"/>
          <w:szCs w:val="28"/>
        </w:rPr>
        <w:t>ктом</w:t>
      </w:r>
      <w:r w:rsidR="00F204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3.13 настоящего Положения</w:t>
      </w:r>
      <w:r>
        <w:rPr>
          <w:color w:val="000000" w:themeColor="text1"/>
          <w:sz w:val="28"/>
          <w:szCs w:val="28"/>
          <w:lang w:eastAsia="zh-CN"/>
        </w:rPr>
        <w:t xml:space="preserve"> 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размещения общественного центра по договору аренды)</w:t>
      </w:r>
      <w:r>
        <w:rPr>
          <w:color w:val="000000" w:themeColor="text1"/>
          <w:sz w:val="28"/>
          <w:szCs w:val="28"/>
        </w:rPr>
        <w:t>.</w:t>
      </w:r>
    </w:p>
    <w:p w14:paraId="00E35805" w14:textId="6D5925DF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3.5. При наличии оснований, указанных в пункте 3.4 настоящего Положения, территориальный орган в </w:t>
      </w:r>
      <w:r>
        <w:rPr>
          <w:color w:val="000000" w:themeColor="text1"/>
          <w:sz w:val="28"/>
          <w:szCs w:val="28"/>
          <w:lang w:eastAsia="zh-CN"/>
        </w:rPr>
        <w:t xml:space="preserve">течение 5 рабочих дней после окончания срока, предусмотренного пунктом 3.3 настоящего Положения, </w:t>
      </w:r>
      <w:r>
        <w:rPr>
          <w:color w:val="000000" w:themeColor="text1"/>
          <w:sz w:val="28"/>
          <w:szCs w:val="28"/>
          <w:lang w:eastAsia="zh-CN"/>
        </w:rPr>
        <w:t>принимает решение об отказе в</w:t>
      </w:r>
      <w:r w:rsidR="00885140">
        <w:rPr>
          <w:color w:val="000000" w:themeColor="text1"/>
          <w:sz w:val="28"/>
          <w:szCs w:val="28"/>
          <w:lang w:eastAsia="zh-CN"/>
        </w:rPr>
        <w:t> создании общественного центра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и н</w:t>
      </w:r>
      <w:r>
        <w:rPr>
          <w:color w:val="000000"/>
          <w:sz w:val="28"/>
          <w:szCs w:val="28"/>
        </w:rPr>
        <w:t>аправляет его в</w:t>
      </w:r>
      <w:r w:rsidR="008851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адрес инициатора с указанием основания(ий) </w:t>
      </w:r>
      <w:r>
        <w:rPr>
          <w:color w:val="000000"/>
          <w:sz w:val="28"/>
          <w:szCs w:val="28"/>
        </w:rPr>
        <w:t xml:space="preserve">отказа и приложением представленных </w:t>
      </w:r>
      <w:r>
        <w:rPr>
          <w:color w:val="000000"/>
          <w:sz w:val="28"/>
          <w:szCs w:val="28"/>
        </w:rPr>
        <w:t>инициатором документов</w:t>
      </w:r>
      <w:r>
        <w:rPr>
          <w:color w:val="000000" w:themeColor="text1"/>
          <w:sz w:val="28"/>
          <w:szCs w:val="28"/>
          <w:lang w:eastAsia="zh-CN"/>
        </w:rPr>
        <w:t>.</w:t>
      </w:r>
    </w:p>
    <w:p w14:paraId="2CB46E71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3.6. </w:t>
      </w:r>
      <w:r>
        <w:rPr>
          <w:color w:val="000000" w:themeColor="text1"/>
          <w:sz w:val="28"/>
          <w:szCs w:val="28"/>
        </w:rPr>
        <w:t xml:space="preserve">При отсутствии оснований, указанных в пункте 3.4 настоящего Положения, территориальный орган </w:t>
      </w:r>
      <w:r>
        <w:rPr>
          <w:color w:val="000000" w:themeColor="text1"/>
          <w:sz w:val="28"/>
          <w:szCs w:val="28"/>
          <w:lang w:eastAsia="zh-CN"/>
        </w:rPr>
        <w:t>в течение 5 рабочих дней после окончания срока, предусмотренного пунктом 3.3 настоящего Положения,</w:t>
      </w:r>
      <w:r>
        <w:rPr>
          <w:color w:val="000000" w:themeColor="text1"/>
          <w:sz w:val="28"/>
          <w:szCs w:val="28"/>
        </w:rPr>
        <w:t xml:space="preserve"> подготавливает заключение о возможн</w:t>
      </w:r>
      <w:r>
        <w:rPr>
          <w:color w:val="000000" w:themeColor="text1"/>
          <w:sz w:val="28"/>
          <w:szCs w:val="28"/>
        </w:rPr>
        <w:t>ости создания общественного центра на соответствующей территории города Перми (далее – заключение территориального органа) и направляет его Главе города с приложением следующих документов:</w:t>
      </w:r>
    </w:p>
    <w:p w14:paraId="20FDA87D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документов, указанных в пункте 3.2 настоящего Положения;</w:t>
      </w:r>
    </w:p>
    <w:p w14:paraId="3E3594AC" w14:textId="620D858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расчета це</w:t>
      </w:r>
      <w:r>
        <w:rPr>
          <w:color w:val="000000" w:themeColor="text1"/>
          <w:sz w:val="28"/>
          <w:szCs w:val="28"/>
        </w:rPr>
        <w:t>ны аренды предполагаемого помещения, предлагаемого для размещения общественного центра</w:t>
      </w:r>
      <w:r w:rsidR="0088514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приложением коммерческого предложения, к которому прилагаются не менее трех ценовых информаций и (или) документов, подтверждающих рыночную стоимость коммерческого пред</w:t>
      </w:r>
      <w:r>
        <w:rPr>
          <w:color w:val="000000"/>
          <w:sz w:val="28"/>
          <w:szCs w:val="28"/>
        </w:rPr>
        <w:t>ложения по цене аренды предполагаемого помещения с аналогичными параметрами и в схожих локациях,</w:t>
      </w:r>
      <w:r>
        <w:rPr>
          <w:color w:val="000000" w:themeColor="text1"/>
          <w:sz w:val="28"/>
          <w:szCs w:val="28"/>
        </w:rPr>
        <w:t xml:space="preserve"> и</w:t>
      </w:r>
      <w:r w:rsidR="0088514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указанием срока аренды (в случае необходимости заключения договора аренды);</w:t>
      </w:r>
    </w:p>
    <w:p w14:paraId="289550BB" w14:textId="0E2BE7CD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расчета примерной стоимости ремонта, оснащения</w:t>
      </w:r>
      <w:r>
        <w:rPr>
          <w:sz w:val="28"/>
          <w:szCs w:val="28"/>
        </w:rPr>
        <w:t xml:space="preserve"> мебелью, организационной техникой </w:t>
      </w:r>
      <w:r>
        <w:rPr>
          <w:sz w:val="28"/>
          <w:szCs w:val="28"/>
        </w:rPr>
        <w:t>и иным движимым имуществом</w:t>
      </w:r>
      <w:r>
        <w:rPr>
          <w:color w:val="000000" w:themeColor="text1"/>
          <w:sz w:val="28"/>
          <w:szCs w:val="28"/>
        </w:rPr>
        <w:t xml:space="preserve"> и с</w:t>
      </w:r>
      <w:r>
        <w:rPr>
          <w:color w:val="000000" w:themeColor="text1"/>
          <w:sz w:val="28"/>
          <w:szCs w:val="28"/>
        </w:rPr>
        <w:t>одержания общественного центра, сведени</w:t>
      </w:r>
      <w:r w:rsidR="00885140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о наличии источников финансирования его деятельности с подтверждающей информацией от функциональных органов и функциональных подразделений администрации города Перми;</w:t>
      </w:r>
    </w:p>
    <w:p w14:paraId="0346E79C" w14:textId="11E8218D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иной информаци</w:t>
      </w:r>
      <w:r w:rsidR="0088514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(п</w:t>
      </w:r>
      <w:r>
        <w:rPr>
          <w:color w:val="000000" w:themeColor="text1"/>
          <w:sz w:val="28"/>
          <w:szCs w:val="28"/>
        </w:rPr>
        <w:t>ри наличии).</w:t>
      </w:r>
    </w:p>
    <w:p w14:paraId="522FFEB2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3.7. Глава города в течение 15 рабочих дней после дня получения документов, указанных в пункте</w:t>
      </w:r>
      <w:r>
        <w:rPr>
          <w:color w:val="000000" w:themeColor="text1"/>
          <w:sz w:val="28"/>
          <w:szCs w:val="28"/>
        </w:rPr>
        <w:t xml:space="preserve"> 3.6 настоящего Положения, принимает решение о согласовании создания общественного центра с учетом заключения территориального органа и направляет</w:t>
      </w:r>
      <w:r>
        <w:rPr>
          <w:color w:val="000000" w:themeColor="text1"/>
          <w:sz w:val="28"/>
          <w:szCs w:val="28"/>
        </w:rPr>
        <w:t xml:space="preserve"> такие документы в территориальный орган для организации работы по заключению договора аренды </w:t>
      </w:r>
      <w:r>
        <w:rPr>
          <w:color w:val="000000" w:themeColor="text1"/>
          <w:sz w:val="28"/>
          <w:szCs w:val="28"/>
          <w:lang w:eastAsia="zh-CN"/>
        </w:rPr>
        <w:t xml:space="preserve">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размещения общественного центра по договору аренды)</w:t>
      </w:r>
      <w:r>
        <w:rPr>
          <w:color w:val="000000" w:themeColor="text1"/>
          <w:sz w:val="28"/>
          <w:szCs w:val="28"/>
        </w:rPr>
        <w:t>, созданию общественного центра и ув</w:t>
      </w:r>
      <w:r>
        <w:rPr>
          <w:color w:val="000000" w:themeColor="text1"/>
          <w:sz w:val="28"/>
          <w:szCs w:val="28"/>
        </w:rPr>
        <w:t xml:space="preserve">едомления инициатора о принятом решении. </w:t>
      </w:r>
    </w:p>
    <w:p w14:paraId="52968B5E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 Территориальный орган уведомляет инициатора о принятом решении в течение 5 рабочих дней после дня поступления решения о согласовании создания общественного центра в территориальный орган. В случае, когда ин</w:t>
      </w:r>
      <w:r>
        <w:rPr>
          <w:color w:val="000000" w:themeColor="text1"/>
          <w:sz w:val="28"/>
          <w:szCs w:val="28"/>
        </w:rPr>
        <w:t>ициатором выступает Глава города, уведомление о принятом решении не направляется.</w:t>
      </w:r>
    </w:p>
    <w:p w14:paraId="746D7E6B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3.9.</w:t>
      </w:r>
      <w:r>
        <w:rPr>
          <w:color w:val="000000"/>
          <w:sz w:val="28"/>
          <w:szCs w:val="28"/>
        </w:rPr>
        <w:t xml:space="preserve"> Решение о создании общественного центра оформляется в виде распоряжения </w:t>
      </w:r>
      <w:r>
        <w:rPr>
          <w:color w:val="000000"/>
          <w:sz w:val="28"/>
          <w:szCs w:val="28"/>
        </w:rPr>
        <w:t>главы территориального органа:</w:t>
      </w:r>
    </w:p>
    <w:p w14:paraId="071DB000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3 рабочих дней после дня возникновения у территориаль</w:t>
      </w:r>
      <w:r>
        <w:rPr>
          <w:color w:val="000000"/>
          <w:sz w:val="28"/>
          <w:szCs w:val="28"/>
        </w:rPr>
        <w:t>ного органа права оперативного управления на помещение в общественном центре;</w:t>
      </w:r>
    </w:p>
    <w:p w14:paraId="18F59850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заключения договора аренды помещения (в случае создания общественного центра в </w:t>
      </w:r>
      <w:commentRangeStart w:id="0"/>
      <w:commentRangeEnd w:id="0"/>
      <w:r>
        <w:rPr>
          <w:color w:val="000000"/>
          <w:sz w:val="28"/>
          <w:szCs w:val="28"/>
        </w:rPr>
        <w:t xml:space="preserve">помещении, </w:t>
      </w:r>
      <w:r>
        <w:rPr>
          <w:sz w:val="28"/>
          <w:szCs w:val="28"/>
        </w:rPr>
        <w:t>находящемся во временном владении и пользовании территориального органа по дог</w:t>
      </w:r>
      <w:r>
        <w:rPr>
          <w:sz w:val="28"/>
          <w:szCs w:val="28"/>
        </w:rPr>
        <w:t>овору аренды)</w:t>
      </w:r>
      <w:r>
        <w:rPr>
          <w:color w:val="000000"/>
          <w:sz w:val="28"/>
          <w:szCs w:val="28"/>
        </w:rPr>
        <w:t>.</w:t>
      </w:r>
    </w:p>
    <w:p w14:paraId="736D57F4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информирования в список рассылки обязательно включается Дума.</w:t>
      </w:r>
    </w:p>
    <w:p w14:paraId="44D40EC5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3.10. Регламент взаимодействия территориальных и функциональных органов, функциональных подразделений администрации города Перми при создании и деятельности общественных ц</w:t>
      </w:r>
      <w:r>
        <w:rPr>
          <w:color w:val="000000"/>
          <w:sz w:val="28"/>
          <w:szCs w:val="28"/>
        </w:rPr>
        <w:t>ентров на террито</w:t>
      </w:r>
      <w:r>
        <w:rPr>
          <w:color w:val="000000"/>
          <w:sz w:val="28"/>
          <w:szCs w:val="28"/>
        </w:rPr>
        <w:t>рии города Перми, а также порядок предоставления помещений в общественном центре утверждаются правовым актом администрации города Перми и включают основания для отказа в предоставлении помещений в общественном центре для проведения разовых</w:t>
      </w:r>
      <w:r>
        <w:rPr>
          <w:color w:val="000000"/>
          <w:sz w:val="28"/>
          <w:szCs w:val="28"/>
        </w:rPr>
        <w:t xml:space="preserve"> мероприятий, утверждение формы заявки о предоставлении помещения в общественном центре в безвозмездное пользование, перечня документов для предоставления в безвозмездное пользование помещения в общественном центре, типовую форму договора о предоставлении </w:t>
      </w:r>
      <w:r>
        <w:rPr>
          <w:color w:val="000000"/>
          <w:sz w:val="28"/>
          <w:szCs w:val="28"/>
        </w:rPr>
        <w:t>помещения в общественном центре в безвозмездное пользование, а также типовую форму договора о предоставлении помещения в общественном центре в безвозмездное пользование для проведения разовых мероприятий. В договоре указываются особенности использования по</w:t>
      </w:r>
      <w:r>
        <w:rPr>
          <w:color w:val="000000"/>
          <w:sz w:val="28"/>
          <w:szCs w:val="28"/>
        </w:rPr>
        <w:t>мещения в общественном центре лицами, получившими помещения в общественном центре в безвозмездное пользование, которые проводят разовые мероприятия или пользуются помещениями в общественном центре не каждый день.</w:t>
      </w:r>
    </w:p>
    <w:p w14:paraId="16478166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3.11. Требования, предъявляемые к помещения</w:t>
      </w:r>
      <w:r>
        <w:rPr>
          <w:color w:val="000000"/>
          <w:sz w:val="28"/>
          <w:szCs w:val="28"/>
        </w:rPr>
        <w:t>м в общественных центрах:</w:t>
      </w:r>
    </w:p>
    <w:p w14:paraId="503BD3C3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3.11.1 полезная площадь помещения в общественном центре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для размещения актовог</w:t>
      </w:r>
      <w:r>
        <w:rPr>
          <w:color w:val="000000"/>
          <w:sz w:val="28"/>
          <w:szCs w:val="28"/>
        </w:rPr>
        <w:t>о зала вместимостью не менее 40 человек, за исключением помещений, предоставляемых в безвозмездное пользование органам территориальных общественных самоуправлений, общественным объединениям и иным СО НКО;</w:t>
      </w:r>
    </w:p>
    <w:p w14:paraId="2237B20A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3.11.2 полезная площадь помещения в общественном це</w:t>
      </w:r>
      <w:r>
        <w:rPr>
          <w:color w:val="000000"/>
          <w:sz w:val="28"/>
          <w:szCs w:val="28"/>
        </w:rPr>
        <w:t xml:space="preserve">нтре, предоставляемого в безвозмездное пользование органам территориальных общественных самоуправлений,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</w:t>
      </w:r>
      <w:r>
        <w:rPr>
          <w:color w:val="000000"/>
          <w:sz w:val="28"/>
          <w:szCs w:val="28"/>
        </w:rPr>
        <w:t>для размещения актового зала вместимостью не менее 40 человек. В случае отсутствия в общественном центре свободных помещений, соответствующих указанным требованиям, или отсутствия общественного центра в границах территории осуществления деятельности террит</w:t>
      </w:r>
      <w:r>
        <w:rPr>
          <w:color w:val="000000"/>
          <w:sz w:val="28"/>
          <w:szCs w:val="28"/>
        </w:rPr>
        <w:t>ориального общественного самоуправления полезная площадь помещения в общественном центре определяется территориальным органом для каждого такого общественного центра в пределах не менее 20 кв. м и не более 69 кв. м (исключая подвальные помещения);</w:t>
      </w:r>
    </w:p>
    <w:p w14:paraId="4DB5E713" w14:textId="564258BC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3.11.3 д</w:t>
      </w:r>
      <w:r>
        <w:rPr>
          <w:color w:val="000000"/>
          <w:sz w:val="28"/>
          <w:szCs w:val="28"/>
        </w:rPr>
        <w:t>оступность помещений в общественных центрах для инвалидов и и</w:t>
      </w:r>
      <w:r w:rsidR="00737B20">
        <w:rPr>
          <w:color w:val="000000"/>
          <w:sz w:val="28"/>
          <w:szCs w:val="28"/>
        </w:rPr>
        <w:t>ных маломобильных групп граждан.</w:t>
      </w:r>
    </w:p>
    <w:p w14:paraId="566E9BA4" w14:textId="4FEAADCB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Помещения в общественных центрах должны быть оснащены мебелью, организационной техникой и </w:t>
      </w:r>
      <w:r w:rsidR="00885140">
        <w:rPr>
          <w:color w:val="000000"/>
          <w:sz w:val="28"/>
          <w:szCs w:val="28"/>
        </w:rPr>
        <w:t>иным движимым имуществом.</w:t>
      </w:r>
    </w:p>
    <w:p w14:paraId="6C55D750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</w:pPr>
      <w:r>
        <w:rPr>
          <w:color w:val="000000" w:themeColor="text1"/>
          <w:sz w:val="28"/>
          <w:szCs w:val="28"/>
          <w:lang w:eastAsia="zh-CN"/>
        </w:rPr>
        <w:t xml:space="preserve">3.13. </w:t>
      </w:r>
      <w:r>
        <w:rPr>
          <w:color w:val="000000"/>
          <w:sz w:val="28"/>
          <w:szCs w:val="28"/>
        </w:rPr>
        <w:t>Условия, при которых территориал</w:t>
      </w:r>
      <w:r>
        <w:rPr>
          <w:color w:val="000000"/>
          <w:sz w:val="28"/>
          <w:szCs w:val="28"/>
        </w:rPr>
        <w:t xml:space="preserve">ьным органом заключается договор аренды помещения в целях создания общественного центра: </w:t>
      </w:r>
    </w:p>
    <w:p w14:paraId="3432181E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достигнуто соглашение по цене договора аренды;</w:t>
      </w:r>
    </w:p>
    <w:p w14:paraId="00D3FAB6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срок аренды помещения не может быть менее 5 лет; </w:t>
      </w:r>
    </w:p>
    <w:p w14:paraId="5F45DA5A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zh-CN"/>
        </w:rPr>
        <w:t>расходы на государственную регистрацию договора аренды, оплату налога</w:t>
      </w:r>
      <w:r>
        <w:rPr>
          <w:sz w:val="28"/>
          <w:szCs w:val="28"/>
          <w:lang w:eastAsia="zh-CN"/>
        </w:rPr>
        <w:t xml:space="preserve"> на имущество </w:t>
      </w:r>
      <w:r>
        <w:rPr>
          <w:sz w:val="28"/>
          <w:szCs w:val="28"/>
          <w:lang w:eastAsia="zh-CN"/>
        </w:rPr>
        <w:t>на протяжении срока действия договора аренды</w:t>
      </w:r>
      <w:r>
        <w:rPr>
          <w:color w:val="000000" w:themeColor="text1"/>
          <w:sz w:val="28"/>
          <w:szCs w:val="28"/>
          <w:lang w:eastAsia="zh-CN"/>
        </w:rPr>
        <w:t xml:space="preserve"> несет собственник помещения;</w:t>
      </w:r>
    </w:p>
    <w:p w14:paraId="15D69E6B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помещение свободно от прав третьих лиц;</w:t>
      </w:r>
    </w:p>
    <w:p w14:paraId="65882724" w14:textId="77777777" w:rsidR="00E04DB2" w:rsidRDefault="002B558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отсутствие </w:t>
      </w:r>
      <w:r>
        <w:rPr>
          <w:color w:val="000000"/>
          <w:sz w:val="28"/>
          <w:szCs w:val="28"/>
        </w:rPr>
        <w:t>на территории микрорайона города Перми свободного помещения, находящегося в муниципальной собственности, соответствующего требованиям, предусмотренным пунктом 3.11 настоящего Положения.»;</w:t>
      </w:r>
    </w:p>
    <w:p w14:paraId="335279BA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раздел 5 изложить в редакции:</w:t>
      </w:r>
    </w:p>
    <w:p w14:paraId="7E14B2C0" w14:textId="77777777" w:rsidR="00E04DB2" w:rsidRDefault="00E04DB2">
      <w:pPr>
        <w:ind w:firstLine="720"/>
        <w:contextualSpacing/>
        <w:jc w:val="both"/>
        <w:rPr>
          <w:b/>
          <w:bCs/>
          <w:sz w:val="28"/>
          <w:szCs w:val="28"/>
        </w:rPr>
      </w:pPr>
    </w:p>
    <w:p w14:paraId="7B1A7C50" w14:textId="77777777" w:rsidR="00E04DB2" w:rsidRDefault="002B5583">
      <w:pPr>
        <w:contextualSpacing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5. Финансовое обеспечение общест</w:t>
      </w:r>
      <w:r>
        <w:rPr>
          <w:b/>
          <w:sz w:val="28"/>
          <w:szCs w:val="28"/>
        </w:rPr>
        <w:t>венных центров</w:t>
      </w:r>
    </w:p>
    <w:p w14:paraId="421FFFF9" w14:textId="77777777" w:rsidR="00E04DB2" w:rsidRDefault="00E04DB2">
      <w:pPr>
        <w:ind w:firstLine="720"/>
        <w:contextualSpacing/>
        <w:jc w:val="both"/>
        <w:rPr>
          <w:sz w:val="28"/>
          <w:szCs w:val="28"/>
        </w:rPr>
      </w:pPr>
    </w:p>
    <w:p w14:paraId="60ABD77C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города Перми при формировании бюджета города Перми на очередной финансовый год и плановый период предусматривает средства, необходимые территориальным органам для содержания имущества и обеспечения деятельности общественн</w:t>
      </w:r>
      <w:r>
        <w:rPr>
          <w:sz w:val="28"/>
          <w:szCs w:val="28"/>
        </w:rPr>
        <w:t>ых центров на территории города Перми:</w:t>
      </w:r>
    </w:p>
    <w:p w14:paraId="3B769CB2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5.1.1 по вновь созданным общественным центрам в помещении, переданном территориальному органу на праве оперативного управления:</w:t>
      </w:r>
    </w:p>
    <w:p w14:paraId="50661AAD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5.1.1.1 расходы, связанные с содержанием имущества и обеспечением деятельности общественн</w:t>
      </w:r>
      <w:r>
        <w:rPr>
          <w:sz w:val="28"/>
          <w:szCs w:val="28"/>
        </w:rPr>
        <w:t xml:space="preserve">ых центров (услуги связи, коммунальные услуги, прочие работы и услуги, а также прочие расходы, увеличение стоимости материальных запасов, увеличение стоимости основных средств), предусматриваются в соответствии с </w:t>
      </w:r>
      <w:r>
        <w:rPr>
          <w:color w:val="000000"/>
          <w:sz w:val="28"/>
          <w:szCs w:val="28"/>
        </w:rPr>
        <w:t>Методикой расчета нормативных затрат по сод</w:t>
      </w:r>
      <w:r>
        <w:rPr>
          <w:color w:val="000000"/>
          <w:sz w:val="28"/>
          <w:szCs w:val="28"/>
        </w:rPr>
        <w:t>ержанию имущества и обеспечению деятельности общественных центров города Перми, утверждаемой правовым актом администрации города Перми (далее – Методика)</w:t>
      </w:r>
      <w:r>
        <w:rPr>
          <w:sz w:val="28"/>
          <w:szCs w:val="28"/>
        </w:rPr>
        <w:t>;</w:t>
      </w:r>
    </w:p>
    <w:p w14:paraId="781A39A8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5.1.1.2 расходы, связанные с оснащением мебелью, организационной техникой и иным </w:t>
      </w:r>
      <w:r>
        <w:rPr>
          <w:sz w:val="28"/>
          <w:szCs w:val="28"/>
        </w:rPr>
        <w:t>движимым имуществом,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дусматриваются исходя из сопоставимых рыночных цен на идентичные товары;</w:t>
      </w:r>
    </w:p>
    <w:p w14:paraId="2122E7EE" w14:textId="7973396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5.1.1.3 расходы, связанные с работами по проведению ремонта помещений в общественных центрах, предусматриваются с учетом решения комиссии </w:t>
      </w:r>
      <w:r>
        <w:rPr>
          <w:color w:val="000000"/>
          <w:sz w:val="28"/>
          <w:szCs w:val="28"/>
        </w:rPr>
        <w:t>по отбору и ранжированию помещений общест</w:t>
      </w:r>
      <w:r>
        <w:rPr>
          <w:color w:val="000000"/>
          <w:sz w:val="28"/>
          <w:szCs w:val="28"/>
        </w:rPr>
        <w:t>венных центров, подлежащих ремонту и</w:t>
      </w:r>
      <w:r w:rsidR="00885140">
        <w:rPr>
          <w:color w:val="000000"/>
          <w:sz w:val="28"/>
          <w:szCs w:val="28"/>
        </w:rPr>
        <w:t> </w:t>
      </w:r>
      <w:bookmarkStart w:id="1" w:name="_GoBack"/>
      <w:bookmarkEnd w:id="1"/>
      <w:r>
        <w:rPr>
          <w:color w:val="000000"/>
          <w:sz w:val="28"/>
          <w:szCs w:val="28"/>
        </w:rPr>
        <w:t>приведению в нормативное состояние (далее – Комиссия).</w:t>
      </w:r>
    </w:p>
    <w:p w14:paraId="53285FB7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отбора и ранжирования помещений общественных центров, подлежащих ремонту и приведению в нормативное состояние, состав Комиссии утверждаются правовым актом а</w:t>
      </w:r>
      <w:r>
        <w:rPr>
          <w:color w:val="000000"/>
          <w:sz w:val="28"/>
          <w:szCs w:val="28"/>
        </w:rPr>
        <w:t>дминистрации города Перми;</w:t>
      </w:r>
    </w:p>
    <w:p w14:paraId="4EECC98B" w14:textId="77777777" w:rsidR="00E04DB2" w:rsidRDefault="002B558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 </w:t>
      </w:r>
      <w:r>
        <w:rPr>
          <w:rFonts w:eastAsiaTheme="minorHAnsi"/>
          <w:sz w:val="28"/>
          <w:szCs w:val="28"/>
          <w:lang w:eastAsia="en-US"/>
        </w:rPr>
        <w:t>по вновь созданным общественным центрам в помещении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переданном территориальному органу на праве временного владения и пользования по договору аренды:</w:t>
      </w:r>
    </w:p>
    <w:p w14:paraId="6CFCC012" w14:textId="77777777" w:rsidR="00E04DB2" w:rsidRDefault="002B5583">
      <w:pPr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5.1.2.1 расходы, связанные с арендной платой нежилого помещения,</w:t>
      </w:r>
      <w:r>
        <w:rPr>
          <w:sz w:val="28"/>
          <w:szCs w:val="28"/>
        </w:rPr>
        <w:t xml:space="preserve"> предусматриваются в соответствии с проектом договора аренды;</w:t>
      </w:r>
    </w:p>
    <w:p w14:paraId="376165EE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5.1.2.2 расходы, связанные с оснащением мебелью, организационной техникой и иным движимым имуществом, предусматриваются исходя из сопоставимых рыночных цен на идентичные товары; </w:t>
      </w:r>
    </w:p>
    <w:p w14:paraId="2E902AD0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5.1.2.3 расходы</w:t>
      </w:r>
      <w:r>
        <w:rPr>
          <w:sz w:val="28"/>
          <w:szCs w:val="28"/>
        </w:rPr>
        <w:t>, связанные с содержанием имущества и обеспечением деятельности общественных центров (услуги связи, коммунальные услуги, прочие работы и услуги, а также прочие расходы, увеличение стоимости материальных запасов, увеличение стоимости основных средств), пред</w:t>
      </w:r>
      <w:r>
        <w:rPr>
          <w:sz w:val="28"/>
          <w:szCs w:val="28"/>
        </w:rPr>
        <w:t xml:space="preserve">усматриваются в соответствии с </w:t>
      </w:r>
      <w:r>
        <w:rPr>
          <w:color w:val="000000"/>
          <w:sz w:val="28"/>
          <w:szCs w:val="28"/>
        </w:rPr>
        <w:t>Методикой</w:t>
      </w:r>
      <w:r>
        <w:rPr>
          <w:sz w:val="28"/>
          <w:szCs w:val="28"/>
        </w:rPr>
        <w:t>;</w:t>
      </w:r>
    </w:p>
    <w:p w14:paraId="6BC72EBF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5.1.2.4 расходы, связанные с работами по проведению текущего ремонта арендуемого помещения, предусматриваются согласно сметной (проектно-сметной) документации;</w:t>
      </w:r>
    </w:p>
    <w:p w14:paraId="535956A3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5.1.3 </w:t>
      </w:r>
      <w:r>
        <w:rPr>
          <w:rFonts w:eastAsiaTheme="minorHAnsi"/>
          <w:sz w:val="28"/>
          <w:szCs w:val="28"/>
          <w:lang w:eastAsia="en-US"/>
        </w:rPr>
        <w:t xml:space="preserve">по вновь созданным общественным центрам в </w:t>
      </w:r>
      <w:r>
        <w:rPr>
          <w:color w:val="000000"/>
          <w:sz w:val="28"/>
          <w:szCs w:val="28"/>
        </w:rPr>
        <w:t>модульных (сборных, некапитальных) сооружениях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255D91CB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5.1.3.1 </w:t>
      </w:r>
      <w:r>
        <w:rPr>
          <w:color w:val="000000"/>
          <w:sz w:val="28"/>
          <w:szCs w:val="28"/>
        </w:rPr>
        <w:t xml:space="preserve">расходы, связанные с работами по возведению модульных (сборных, некапитальных) сооружений, </w:t>
      </w:r>
      <w:r>
        <w:rPr>
          <w:sz w:val="28"/>
          <w:szCs w:val="28"/>
        </w:rPr>
        <w:t>предусматриваются</w:t>
      </w:r>
      <w:r>
        <w:rPr>
          <w:color w:val="000000"/>
          <w:sz w:val="28"/>
          <w:szCs w:val="28"/>
        </w:rPr>
        <w:t xml:space="preserve"> в соответствии с предложением о выделении средств на инженерно-геологические изыскания, изг</w:t>
      </w:r>
      <w:r>
        <w:rPr>
          <w:color w:val="000000"/>
          <w:sz w:val="28"/>
          <w:szCs w:val="28"/>
        </w:rPr>
        <w:t xml:space="preserve">отовление и установку модульных (сборных, некапитальных) сооружений, направленным территориальным органом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функциональное подразделение администрации города Перми, осуществляющее функции по обеспечению реализации муниципальной политики в сфере общественны</w:t>
      </w:r>
      <w:r>
        <w:rPr>
          <w:color w:val="000000"/>
          <w:sz w:val="28"/>
          <w:szCs w:val="28"/>
        </w:rPr>
        <w:t xml:space="preserve">х отношений, координации взаимодействия территориальных и функциональных органов, функциональных подразделений администрации города Перми с органами территориального общественного самоуправления, общественными и иными некоммерческими организациями, </w:t>
      </w:r>
      <w:r>
        <w:rPr>
          <w:color w:val="000000"/>
          <w:sz w:val="28"/>
          <w:szCs w:val="28"/>
        </w:rPr>
        <w:t>с при</w:t>
      </w:r>
      <w:r>
        <w:rPr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>жением следующих документов:</w:t>
      </w:r>
    </w:p>
    <w:p w14:paraId="11AEE5C7" w14:textId="77777777" w:rsidR="00E04DB2" w:rsidRDefault="002B5583">
      <w:pPr>
        <w:pStyle w:val="1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обоснования необходимости возведения модульных (сборных, некапитальных) сооружений в целях размещения в них общественных центров; </w:t>
      </w:r>
    </w:p>
    <w:p w14:paraId="7DB1AC46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предварительных расчетов стоимости производства работ с учетом анализа рынка на осно</w:t>
      </w:r>
      <w:r>
        <w:rPr>
          <w:sz w:val="28"/>
          <w:szCs w:val="28"/>
        </w:rPr>
        <w:t xml:space="preserve">вании информации о ценах на идентичные работы и материалы; </w:t>
      </w:r>
    </w:p>
    <w:p w14:paraId="242B0759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правоустанавливающих документов на земельный участок. </w:t>
      </w:r>
    </w:p>
    <w:p w14:paraId="21C59602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Возведение модульных (сборных, некапитальных) сооружений в целях размещения в них общественных центров осуществляется в соответствии с типовы</w:t>
      </w:r>
      <w:r>
        <w:rPr>
          <w:color w:val="000000"/>
          <w:sz w:val="28"/>
          <w:szCs w:val="28"/>
        </w:rPr>
        <w:t>м проектом;</w:t>
      </w:r>
    </w:p>
    <w:p w14:paraId="341898CE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5.1.3.2 расходы, связанные с оснащением мебелью, организационной техникой и ины</w:t>
      </w:r>
      <w:r>
        <w:rPr>
          <w:sz w:val="28"/>
          <w:szCs w:val="28"/>
        </w:rPr>
        <w:t>м движимым имуществом, предусматриваются исходя из сопоставимых рыночных цен на идентичные товары;</w:t>
      </w:r>
    </w:p>
    <w:p w14:paraId="2EAAD4A7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5.1.3.3 расходы, связанные с содержанием имущества и обеспечением </w:t>
      </w:r>
      <w:r>
        <w:rPr>
          <w:sz w:val="28"/>
          <w:szCs w:val="28"/>
        </w:rPr>
        <w:t>деятельности общественных центров (услуги связи, коммунальные услуги, работы и услуги по содержанию имущества, прочие работы и услуги, а также прочие расходы, увеличение стоимости материальных запасов, увеличение стоимости основных средств), предусматриваю</w:t>
      </w:r>
      <w:r>
        <w:rPr>
          <w:sz w:val="28"/>
          <w:szCs w:val="28"/>
        </w:rPr>
        <w:t>тся в соответствии с Методикой;</w:t>
      </w:r>
    </w:p>
    <w:p w14:paraId="6AACDEE3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 </w:t>
      </w:r>
      <w:r>
        <w:rPr>
          <w:rFonts w:eastAsiaTheme="minorHAnsi"/>
          <w:sz w:val="28"/>
          <w:szCs w:val="28"/>
          <w:lang w:eastAsia="en-US"/>
        </w:rPr>
        <w:t>на функционирующие общественные центр</w:t>
      </w:r>
      <w:r>
        <w:rPr>
          <w:sz w:val="28"/>
          <w:szCs w:val="28"/>
        </w:rPr>
        <w:t>ы:</w:t>
      </w:r>
    </w:p>
    <w:p w14:paraId="04EF8A9A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5.1.4.1 р</w:t>
      </w:r>
      <w:r>
        <w:rPr>
          <w:sz w:val="28"/>
          <w:szCs w:val="28"/>
        </w:rPr>
        <w:t>асходы, связанные с содержанием имущества и обеспечением деятельности общественных центров (услуги связи, коммунальные услуги, прочие работы и услуги, а также прочие расходы, увеличение стоимости материальных запасов, увеличение стоимости основных средств)</w:t>
      </w:r>
      <w:r>
        <w:rPr>
          <w:sz w:val="28"/>
          <w:szCs w:val="28"/>
        </w:rPr>
        <w:t>, предусматриваются в соответствии с Методикой;</w:t>
      </w:r>
    </w:p>
    <w:p w14:paraId="74A4EB24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5.1.4.2 расходы, связанные с оснащением мебелью, организационной техникой и иным движимым имуществом, предусматриваются </w:t>
      </w:r>
      <w:r>
        <w:rPr>
          <w:color w:val="000000" w:themeColor="text1"/>
          <w:sz w:val="28"/>
          <w:szCs w:val="28"/>
        </w:rPr>
        <w:t>с учетом решения комиссии по отбору и ранжированию общественных центров с целью дополнит</w:t>
      </w:r>
      <w:r>
        <w:rPr>
          <w:color w:val="000000" w:themeColor="text1"/>
          <w:sz w:val="28"/>
          <w:szCs w:val="28"/>
        </w:rPr>
        <w:t xml:space="preserve">ельного оснащения </w:t>
      </w:r>
      <w:r>
        <w:rPr>
          <w:color w:val="000000"/>
          <w:sz w:val="28"/>
          <w:szCs w:val="28"/>
        </w:rPr>
        <w:t xml:space="preserve">мебелью, организационной техникой и иным </w:t>
      </w:r>
      <w:r>
        <w:rPr>
          <w:sz w:val="28"/>
          <w:szCs w:val="28"/>
        </w:rPr>
        <w:t>движимым имуществом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исходя из сопоставимых рыночных цен на идентичные товары (далее – Комиссия по дополнительному оснащению).</w:t>
      </w:r>
    </w:p>
    <w:p w14:paraId="75DDC2EE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color w:val="000000" w:themeColor="text1"/>
          <w:sz w:val="28"/>
          <w:szCs w:val="28"/>
        </w:rPr>
        <w:t>отбора и ранжирования общественных центров с целью дополнительн</w:t>
      </w:r>
      <w:r>
        <w:rPr>
          <w:color w:val="000000" w:themeColor="text1"/>
          <w:sz w:val="28"/>
          <w:szCs w:val="28"/>
        </w:rPr>
        <w:t xml:space="preserve">ого оснащения </w:t>
      </w:r>
      <w:r>
        <w:rPr>
          <w:color w:val="000000"/>
          <w:sz w:val="28"/>
          <w:szCs w:val="28"/>
        </w:rPr>
        <w:t xml:space="preserve">мебелью, организационной техникой и иным </w:t>
      </w:r>
      <w:r>
        <w:rPr>
          <w:sz w:val="28"/>
          <w:szCs w:val="28"/>
        </w:rPr>
        <w:t xml:space="preserve">движимым имуществом, состав Комиссии по дополнительному оснащению </w:t>
      </w:r>
      <w:r>
        <w:rPr>
          <w:color w:val="000000"/>
          <w:sz w:val="28"/>
          <w:szCs w:val="28"/>
        </w:rPr>
        <w:t>утверждаются правовым актом администрации города Перми</w:t>
      </w:r>
      <w:r>
        <w:rPr>
          <w:sz w:val="28"/>
          <w:szCs w:val="28"/>
        </w:rPr>
        <w:t>;</w:t>
      </w:r>
    </w:p>
    <w:p w14:paraId="578C123B" w14:textId="77777777" w:rsidR="00E04DB2" w:rsidRDefault="002B5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5.1.4.3 расходы, связанные с работами по проведению ремонта помещений в обществ</w:t>
      </w:r>
      <w:r>
        <w:rPr>
          <w:sz w:val="28"/>
          <w:szCs w:val="28"/>
        </w:rPr>
        <w:t xml:space="preserve">енных центрах, находящихся в муниципальной собственности, предусматриваются с учетом решения </w:t>
      </w:r>
      <w:r>
        <w:rPr>
          <w:color w:val="000000"/>
          <w:sz w:val="28"/>
          <w:szCs w:val="28"/>
        </w:rPr>
        <w:t>Комиссии.</w:t>
      </w:r>
    </w:p>
    <w:p w14:paraId="33A43F52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подготовку сметной (проектно-сметной) документации предусматриваются территориальным органом в пределах средств на содержание общественных цен</w:t>
      </w:r>
      <w:r>
        <w:rPr>
          <w:sz w:val="28"/>
          <w:szCs w:val="28"/>
        </w:rPr>
        <w:t>тров.</w:t>
      </w:r>
    </w:p>
    <w:p w14:paraId="3F1DF71E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Расходование средств, выделенных на цели, указанные в подпунктах 5.1.1, 5.1.2, 5.1.3, 5.1.4 настоящего Положения, производится территориальным органом.».</w:t>
      </w:r>
    </w:p>
    <w:p w14:paraId="7B9E1AED" w14:textId="77777777" w:rsidR="00E04DB2" w:rsidRDefault="002B5583">
      <w:pPr>
        <w:pStyle w:val="1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</w:t>
      </w:r>
      <w:r>
        <w:rPr>
          <w:sz w:val="28"/>
          <w:szCs w:val="28"/>
        </w:rPr>
        <w:t>ня его официального обнародования посредством офиц</w:t>
      </w:r>
      <w:r>
        <w:rPr>
          <w:sz w:val="28"/>
          <w:szCs w:val="28"/>
        </w:rPr>
        <w:t>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B7BFEEA" w14:textId="77777777" w:rsidR="00E04DB2" w:rsidRDefault="002B5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</w:t>
      </w:r>
      <w:r>
        <w:rPr>
          <w:sz w:val="28"/>
          <w:szCs w:val="28"/>
        </w:rPr>
        <w:t xml:space="preserve">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14:paraId="5EEF4AEC" w14:textId="77777777" w:rsidR="00E04DB2" w:rsidRDefault="002B5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14:paraId="1D1A1993" w14:textId="77777777" w:rsidR="00E04DB2" w:rsidRDefault="00E04DB2">
      <w:pPr>
        <w:jc w:val="both"/>
        <w:rPr>
          <w:sz w:val="28"/>
          <w:szCs w:val="28"/>
        </w:rPr>
      </w:pPr>
    </w:p>
    <w:p w14:paraId="0D53EE14" w14:textId="77777777" w:rsidR="00E04DB2" w:rsidRDefault="00E04DB2">
      <w:pPr>
        <w:jc w:val="both"/>
        <w:rPr>
          <w:sz w:val="28"/>
          <w:szCs w:val="28"/>
        </w:rPr>
      </w:pPr>
    </w:p>
    <w:p w14:paraId="67E1284A" w14:textId="77777777" w:rsidR="00E04DB2" w:rsidRDefault="00E04DB2">
      <w:pPr>
        <w:jc w:val="both"/>
        <w:rPr>
          <w:sz w:val="28"/>
          <w:szCs w:val="28"/>
        </w:rPr>
      </w:pPr>
    </w:p>
    <w:p w14:paraId="43D39379" w14:textId="77777777" w:rsidR="00E04DB2" w:rsidRDefault="002B55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6CD54B6" w14:textId="77777777" w:rsidR="00E04DB2" w:rsidRDefault="002B558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14:paraId="2E379619" w14:textId="77777777" w:rsidR="00E04DB2" w:rsidRDefault="00E04DB2">
      <w:pPr>
        <w:jc w:val="both"/>
        <w:rPr>
          <w:sz w:val="28"/>
          <w:szCs w:val="28"/>
        </w:rPr>
      </w:pPr>
    </w:p>
    <w:p w14:paraId="2585F79A" w14:textId="77777777" w:rsidR="00E04DB2" w:rsidRDefault="00E04DB2">
      <w:pPr>
        <w:jc w:val="both"/>
        <w:rPr>
          <w:sz w:val="28"/>
          <w:szCs w:val="28"/>
        </w:rPr>
      </w:pPr>
    </w:p>
    <w:p w14:paraId="1F78A377" w14:textId="77777777" w:rsidR="00E04DB2" w:rsidRDefault="00E04DB2">
      <w:pPr>
        <w:jc w:val="both"/>
        <w:rPr>
          <w:sz w:val="28"/>
          <w:szCs w:val="28"/>
        </w:rPr>
      </w:pPr>
    </w:p>
    <w:p w14:paraId="7223E1DF" w14:textId="77777777" w:rsidR="00E04DB2" w:rsidRDefault="002B55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04DB2">
      <w:headerReference w:type="default" r:id="rId13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24E3758" w16cex:dateUtc="2025-05-05T13:40:11Z"/>
  <w16cex:commentExtensible w16cex:durableId="7039175A" w16cex:dateUtc="2025-05-05T11:54:39Z"/>
  <w16cex:commentExtensible w16cex:durableId="06EFFB9F" w16cex:dateUtc="2025-05-05T11:47:19Z"/>
  <w16cex:commentExtensible w16cex:durableId="4C8C2DA5" w16cex:dateUtc="2025-05-05T11:28: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24E3758"/>
  <w16cid:commentId w16cid:paraId="00000002" w16cid:durableId="7039175A"/>
  <w16cid:commentId w16cid:paraId="00000003" w16cid:durableId="06EFFB9F"/>
  <w16cid:commentId w16cid:paraId="00000004" w16cid:durableId="4C8C2D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46D8D" w14:textId="77777777" w:rsidR="002B5583" w:rsidRDefault="002B5583">
      <w:r>
        <w:separator/>
      </w:r>
    </w:p>
  </w:endnote>
  <w:endnote w:type="continuationSeparator" w:id="0">
    <w:p w14:paraId="7D10B1E9" w14:textId="77777777" w:rsidR="002B5583" w:rsidRDefault="002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A0F4C" w14:textId="77777777" w:rsidR="002B5583" w:rsidRDefault="002B5583">
      <w:r>
        <w:separator/>
      </w:r>
    </w:p>
  </w:footnote>
  <w:footnote w:type="continuationSeparator" w:id="0">
    <w:p w14:paraId="1F00388A" w14:textId="77777777" w:rsidR="002B5583" w:rsidRDefault="002B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D359" w14:textId="77777777" w:rsidR="00E04DB2" w:rsidRDefault="002B558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85140">
      <w:rPr>
        <w:noProof/>
      </w:rPr>
      <w:t>5</w:t>
    </w:r>
    <w:r>
      <w:fldChar w:fldCharType="end"/>
    </w:r>
  </w:p>
  <w:p w14:paraId="7886F67D" w14:textId="77777777" w:rsidR="00E04DB2" w:rsidRDefault="00E04DB2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CE0"/>
    <w:multiLevelType w:val="multilevel"/>
    <w:tmpl w:val="269A2452"/>
    <w:lvl w:ilvl="0">
      <w:start w:val="1"/>
      <w:numFmt w:val="decimal"/>
      <w:lvlText w:val="%1."/>
      <w:lvlJc w:val="left"/>
      <w:pPr>
        <w:ind w:left="1077" w:firstLine="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7746766"/>
    <w:multiLevelType w:val="hybridMultilevel"/>
    <w:tmpl w:val="E8BAAB4A"/>
    <w:lvl w:ilvl="0" w:tplc="AB267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B944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A2B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F4F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38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C20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C032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226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A8EF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776D3D"/>
    <w:multiLevelType w:val="multilevel"/>
    <w:tmpl w:val="B0CCFF14"/>
    <w:lvl w:ilvl="0">
      <w:start w:val="1"/>
      <w:numFmt w:val="decimal"/>
      <w:lvlText w:val="%1."/>
      <w:lvlJc w:val="center"/>
      <w:pPr>
        <w:ind w:left="371" w:hanging="360"/>
      </w:pPr>
    </w:lvl>
    <w:lvl w:ilvl="1">
      <w:start w:val="1"/>
      <w:numFmt w:val="decimal"/>
      <w:lvlText w:val="%1.%2."/>
      <w:lvlJc w:val="left"/>
      <w:pPr>
        <w:ind w:left="731" w:hanging="720"/>
      </w:pPr>
    </w:lvl>
    <w:lvl w:ilvl="2">
      <w:start w:val="1"/>
      <w:numFmt w:val="decimal"/>
      <w:lvlText w:val="%1.%2.%3."/>
      <w:lvlJc w:val="left"/>
      <w:pPr>
        <w:ind w:left="731" w:hanging="720"/>
      </w:pPr>
    </w:lvl>
    <w:lvl w:ilvl="3">
      <w:start w:val="1"/>
      <w:numFmt w:val="decimal"/>
      <w:lvlText w:val="%1.%2.%3.%4."/>
      <w:lvlJc w:val="left"/>
      <w:pPr>
        <w:ind w:left="1091" w:hanging="1080"/>
      </w:pPr>
    </w:lvl>
    <w:lvl w:ilvl="4">
      <w:start w:val="1"/>
      <w:numFmt w:val="decimal"/>
      <w:lvlText w:val="%1.%2.%3.%4.%5."/>
      <w:lvlJc w:val="left"/>
      <w:pPr>
        <w:ind w:left="1091" w:hanging="1080"/>
      </w:pPr>
    </w:lvl>
    <w:lvl w:ilvl="5">
      <w:start w:val="1"/>
      <w:numFmt w:val="decimal"/>
      <w:lvlText w:val="%1.%2.%3.%4.%5.%6."/>
      <w:lvlJc w:val="left"/>
      <w:pPr>
        <w:ind w:left="1451" w:hanging="1440"/>
      </w:pPr>
    </w:lvl>
    <w:lvl w:ilvl="6">
      <w:start w:val="1"/>
      <w:numFmt w:val="decimal"/>
      <w:lvlText w:val="%1.%2.%3.%4.%5.%6.%7."/>
      <w:lvlJc w:val="left"/>
      <w:pPr>
        <w:ind w:left="1811" w:hanging="1800"/>
      </w:pPr>
    </w:lvl>
    <w:lvl w:ilvl="7">
      <w:start w:val="1"/>
      <w:numFmt w:val="decimal"/>
      <w:lvlText w:val="%1.%2.%3.%4.%5.%6.%7.%8."/>
      <w:lvlJc w:val="left"/>
      <w:pPr>
        <w:ind w:left="1811" w:hanging="1800"/>
      </w:pPr>
    </w:lvl>
    <w:lvl w:ilvl="8">
      <w:start w:val="1"/>
      <w:numFmt w:val="decimal"/>
      <w:lvlText w:val="%1.%2.%3.%4.%5.%6.%7.%8.%9."/>
      <w:lvlJc w:val="left"/>
      <w:pPr>
        <w:ind w:left="2171" w:hanging="2160"/>
      </w:pPr>
    </w:lvl>
  </w:abstractNum>
  <w:abstractNum w:abstractNumId="3" w15:restartNumberingAfterBreak="0">
    <w:nsid w:val="181524C8"/>
    <w:multiLevelType w:val="multilevel"/>
    <w:tmpl w:val="6ECC0908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4" w15:restartNumberingAfterBreak="0">
    <w:nsid w:val="27756683"/>
    <w:multiLevelType w:val="hybridMultilevel"/>
    <w:tmpl w:val="FC248894"/>
    <w:lvl w:ilvl="0" w:tplc="1FAC8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1B2E6BA">
      <w:start w:val="1"/>
      <w:numFmt w:val="lowerLetter"/>
      <w:lvlText w:val="%2."/>
      <w:lvlJc w:val="left"/>
      <w:pPr>
        <w:ind w:left="1440" w:hanging="360"/>
      </w:pPr>
    </w:lvl>
    <w:lvl w:ilvl="2" w:tplc="EB9EAD12">
      <w:start w:val="1"/>
      <w:numFmt w:val="lowerRoman"/>
      <w:lvlText w:val="%3."/>
      <w:lvlJc w:val="right"/>
      <w:pPr>
        <w:ind w:left="2160" w:hanging="180"/>
      </w:pPr>
    </w:lvl>
    <w:lvl w:ilvl="3" w:tplc="369EDBFC">
      <w:start w:val="1"/>
      <w:numFmt w:val="decimal"/>
      <w:lvlText w:val="%4."/>
      <w:lvlJc w:val="left"/>
      <w:pPr>
        <w:ind w:left="2880" w:hanging="360"/>
      </w:pPr>
    </w:lvl>
    <w:lvl w:ilvl="4" w:tplc="E87EDAEC">
      <w:start w:val="1"/>
      <w:numFmt w:val="lowerLetter"/>
      <w:lvlText w:val="%5."/>
      <w:lvlJc w:val="left"/>
      <w:pPr>
        <w:ind w:left="3600" w:hanging="360"/>
      </w:pPr>
    </w:lvl>
    <w:lvl w:ilvl="5" w:tplc="190AF616">
      <w:start w:val="1"/>
      <w:numFmt w:val="lowerRoman"/>
      <w:lvlText w:val="%6."/>
      <w:lvlJc w:val="right"/>
      <w:pPr>
        <w:ind w:left="4320" w:hanging="180"/>
      </w:pPr>
    </w:lvl>
    <w:lvl w:ilvl="6" w:tplc="56100CA0">
      <w:start w:val="1"/>
      <w:numFmt w:val="decimal"/>
      <w:lvlText w:val="%7."/>
      <w:lvlJc w:val="left"/>
      <w:pPr>
        <w:ind w:left="5040" w:hanging="360"/>
      </w:pPr>
    </w:lvl>
    <w:lvl w:ilvl="7" w:tplc="CAF4B03A">
      <w:start w:val="1"/>
      <w:numFmt w:val="lowerLetter"/>
      <w:lvlText w:val="%8."/>
      <w:lvlJc w:val="left"/>
      <w:pPr>
        <w:ind w:left="5760" w:hanging="360"/>
      </w:pPr>
    </w:lvl>
    <w:lvl w:ilvl="8" w:tplc="313424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3FD"/>
    <w:multiLevelType w:val="hybridMultilevel"/>
    <w:tmpl w:val="014ABD14"/>
    <w:lvl w:ilvl="0" w:tplc="5600A14A">
      <w:start w:val="1"/>
      <w:numFmt w:val="decimal"/>
      <w:lvlText w:val="%1."/>
      <w:lvlJc w:val="left"/>
      <w:pPr>
        <w:ind w:left="1069" w:hanging="360"/>
      </w:pPr>
    </w:lvl>
    <w:lvl w:ilvl="1" w:tplc="1E5CF38C">
      <w:start w:val="1"/>
      <w:numFmt w:val="lowerLetter"/>
      <w:lvlText w:val="%2."/>
      <w:lvlJc w:val="left"/>
      <w:pPr>
        <w:ind w:left="1789" w:hanging="360"/>
      </w:pPr>
    </w:lvl>
    <w:lvl w:ilvl="2" w:tplc="DB86537C">
      <w:start w:val="1"/>
      <w:numFmt w:val="lowerRoman"/>
      <w:lvlText w:val="%3."/>
      <w:lvlJc w:val="right"/>
      <w:pPr>
        <w:ind w:left="2509" w:hanging="180"/>
      </w:pPr>
    </w:lvl>
    <w:lvl w:ilvl="3" w:tplc="55308838">
      <w:start w:val="1"/>
      <w:numFmt w:val="decimal"/>
      <w:lvlText w:val="%4."/>
      <w:lvlJc w:val="left"/>
      <w:pPr>
        <w:ind w:left="3229" w:hanging="360"/>
      </w:pPr>
    </w:lvl>
    <w:lvl w:ilvl="4" w:tplc="6164BD3A">
      <w:start w:val="1"/>
      <w:numFmt w:val="lowerLetter"/>
      <w:lvlText w:val="%5."/>
      <w:lvlJc w:val="left"/>
      <w:pPr>
        <w:ind w:left="3949" w:hanging="360"/>
      </w:pPr>
    </w:lvl>
    <w:lvl w:ilvl="5" w:tplc="E3EA15C4">
      <w:start w:val="1"/>
      <w:numFmt w:val="lowerRoman"/>
      <w:lvlText w:val="%6."/>
      <w:lvlJc w:val="right"/>
      <w:pPr>
        <w:ind w:left="4669" w:hanging="180"/>
      </w:pPr>
    </w:lvl>
    <w:lvl w:ilvl="6" w:tplc="6BC876B2">
      <w:start w:val="1"/>
      <w:numFmt w:val="decimal"/>
      <w:lvlText w:val="%7."/>
      <w:lvlJc w:val="left"/>
      <w:pPr>
        <w:ind w:left="5389" w:hanging="360"/>
      </w:pPr>
    </w:lvl>
    <w:lvl w:ilvl="7" w:tplc="259666B0">
      <w:start w:val="1"/>
      <w:numFmt w:val="lowerLetter"/>
      <w:lvlText w:val="%8."/>
      <w:lvlJc w:val="left"/>
      <w:pPr>
        <w:ind w:left="6109" w:hanging="360"/>
      </w:pPr>
    </w:lvl>
    <w:lvl w:ilvl="8" w:tplc="0AC20EF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226BD"/>
    <w:multiLevelType w:val="multilevel"/>
    <w:tmpl w:val="E8AEFF7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49" w:hanging="375"/>
      </w:pPr>
    </w:lvl>
    <w:lvl w:ilvl="2">
      <w:start w:val="1"/>
      <w:numFmt w:val="decimalZero"/>
      <w:lvlText w:val="%1.%2.%3"/>
      <w:lvlJc w:val="left"/>
      <w:pPr>
        <w:ind w:left="2268" w:hanging="720"/>
      </w:pPr>
    </w:lvl>
    <w:lvl w:ilvl="3">
      <w:start w:val="1"/>
      <w:numFmt w:val="decimal"/>
      <w:lvlText w:val="%1.%2.%3.%4"/>
      <w:lvlJc w:val="left"/>
      <w:pPr>
        <w:ind w:left="3402" w:hanging="1080"/>
      </w:pPr>
    </w:lvl>
    <w:lvl w:ilvl="4">
      <w:start w:val="1"/>
      <w:numFmt w:val="decimal"/>
      <w:lvlText w:val="%1.%2.%3.%4.%5"/>
      <w:lvlJc w:val="left"/>
      <w:pPr>
        <w:ind w:left="4176" w:hanging="1080"/>
      </w:pPr>
    </w:lvl>
    <w:lvl w:ilvl="5">
      <w:start w:val="1"/>
      <w:numFmt w:val="decimal"/>
      <w:lvlText w:val="%1.%2.%3.%4.%5.%6"/>
      <w:lvlJc w:val="left"/>
      <w:pPr>
        <w:ind w:left="5310" w:hanging="1440"/>
      </w:pPr>
    </w:lvl>
    <w:lvl w:ilvl="6">
      <w:start w:val="1"/>
      <w:numFmt w:val="decimal"/>
      <w:lvlText w:val="%1.%2.%3.%4.%5.%6.%7"/>
      <w:lvlJc w:val="left"/>
      <w:pPr>
        <w:ind w:left="6084" w:hanging="1440"/>
      </w:pPr>
    </w:lvl>
    <w:lvl w:ilvl="7">
      <w:start w:val="1"/>
      <w:numFmt w:val="decimal"/>
      <w:lvlText w:val="%1.%2.%3.%4.%5.%6.%7.%8"/>
      <w:lvlJc w:val="left"/>
      <w:pPr>
        <w:ind w:left="7218" w:hanging="1800"/>
      </w:pPr>
    </w:lvl>
    <w:lvl w:ilvl="8">
      <w:start w:val="1"/>
      <w:numFmt w:val="decimal"/>
      <w:lvlText w:val="%1.%2.%3.%4.%5.%6.%7.%8.%9"/>
      <w:lvlJc w:val="left"/>
      <w:pPr>
        <w:ind w:left="8352" w:hanging="2160"/>
      </w:pPr>
    </w:lvl>
  </w:abstractNum>
  <w:abstractNum w:abstractNumId="7" w15:restartNumberingAfterBreak="0">
    <w:nsid w:val="3ADD625F"/>
    <w:multiLevelType w:val="hybridMultilevel"/>
    <w:tmpl w:val="3C82AFC8"/>
    <w:lvl w:ilvl="0" w:tplc="20EA3366">
      <w:start w:val="1"/>
      <w:numFmt w:val="decimal"/>
      <w:lvlText w:val="%1."/>
      <w:lvlJc w:val="left"/>
      <w:pPr>
        <w:ind w:left="1134" w:hanging="360"/>
      </w:pPr>
    </w:lvl>
    <w:lvl w:ilvl="1" w:tplc="4B1A7E6A">
      <w:start w:val="1"/>
      <w:numFmt w:val="lowerLetter"/>
      <w:lvlText w:val="%2."/>
      <w:lvlJc w:val="left"/>
      <w:pPr>
        <w:ind w:left="1854" w:hanging="360"/>
      </w:pPr>
    </w:lvl>
    <w:lvl w:ilvl="2" w:tplc="4036D0AA">
      <w:start w:val="1"/>
      <w:numFmt w:val="lowerRoman"/>
      <w:lvlText w:val="%3."/>
      <w:lvlJc w:val="right"/>
      <w:pPr>
        <w:ind w:left="2574" w:hanging="180"/>
      </w:pPr>
    </w:lvl>
    <w:lvl w:ilvl="3" w:tplc="A92221FC">
      <w:start w:val="1"/>
      <w:numFmt w:val="decimal"/>
      <w:lvlText w:val="%4."/>
      <w:lvlJc w:val="left"/>
      <w:pPr>
        <w:ind w:left="3294" w:hanging="360"/>
      </w:pPr>
    </w:lvl>
    <w:lvl w:ilvl="4" w:tplc="071AE896">
      <w:start w:val="1"/>
      <w:numFmt w:val="lowerLetter"/>
      <w:lvlText w:val="%5."/>
      <w:lvlJc w:val="left"/>
      <w:pPr>
        <w:ind w:left="4014" w:hanging="360"/>
      </w:pPr>
    </w:lvl>
    <w:lvl w:ilvl="5" w:tplc="83249E2C">
      <w:start w:val="1"/>
      <w:numFmt w:val="lowerRoman"/>
      <w:lvlText w:val="%6."/>
      <w:lvlJc w:val="right"/>
      <w:pPr>
        <w:ind w:left="4734" w:hanging="180"/>
      </w:pPr>
    </w:lvl>
    <w:lvl w:ilvl="6" w:tplc="6E32138C">
      <w:start w:val="1"/>
      <w:numFmt w:val="decimal"/>
      <w:lvlText w:val="%7."/>
      <w:lvlJc w:val="left"/>
      <w:pPr>
        <w:ind w:left="5454" w:hanging="360"/>
      </w:pPr>
    </w:lvl>
    <w:lvl w:ilvl="7" w:tplc="37E6D918">
      <w:start w:val="1"/>
      <w:numFmt w:val="lowerLetter"/>
      <w:lvlText w:val="%8."/>
      <w:lvlJc w:val="left"/>
      <w:pPr>
        <w:ind w:left="6174" w:hanging="360"/>
      </w:pPr>
    </w:lvl>
    <w:lvl w:ilvl="8" w:tplc="1924EDC0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3D0F386F"/>
    <w:multiLevelType w:val="multilevel"/>
    <w:tmpl w:val="B10499B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9" w15:restartNumberingAfterBreak="0">
    <w:nsid w:val="3E155CF6"/>
    <w:multiLevelType w:val="multilevel"/>
    <w:tmpl w:val="2AA09F4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0" w15:restartNumberingAfterBreak="0">
    <w:nsid w:val="3E7959D5"/>
    <w:multiLevelType w:val="hybridMultilevel"/>
    <w:tmpl w:val="F05C8246"/>
    <w:lvl w:ilvl="0" w:tplc="2AF6A15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8B2010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8AD4E0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27AD1C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82E945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E6CC49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F1EDF6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B8EAA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F02C75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195430C"/>
    <w:multiLevelType w:val="hybridMultilevel"/>
    <w:tmpl w:val="E8E666E8"/>
    <w:lvl w:ilvl="0" w:tplc="737A6F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13A4F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7E34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285C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02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EA61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805D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22D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72E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9E2F56"/>
    <w:multiLevelType w:val="multilevel"/>
    <w:tmpl w:val="8C7A9598"/>
    <w:lvl w:ilvl="0">
      <w:start w:val="1"/>
      <w:numFmt w:val="decimal"/>
      <w:lvlText w:val="%1."/>
      <w:lvlJc w:val="left"/>
      <w:pPr>
        <w:ind w:left="1134" w:hanging="360"/>
      </w:pPr>
    </w:lvl>
    <w:lvl w:ilvl="1">
      <w:start w:val="3"/>
      <w:numFmt w:val="decimal"/>
      <w:lvlText w:val="%1.%2."/>
      <w:lvlJc w:val="left"/>
      <w:pPr>
        <w:ind w:left="1494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854" w:hanging="1080"/>
      </w:pPr>
    </w:lvl>
    <w:lvl w:ilvl="4">
      <w:start w:val="1"/>
      <w:numFmt w:val="decimal"/>
      <w:lvlText w:val="%1.%2.%3.%4.%5."/>
      <w:lvlJc w:val="left"/>
      <w:pPr>
        <w:ind w:left="1854" w:hanging="1080"/>
      </w:pPr>
    </w:lvl>
    <w:lvl w:ilvl="5">
      <w:start w:val="1"/>
      <w:numFmt w:val="decimal"/>
      <w:lvlText w:val="%1.%2.%3.%4.%5.%6."/>
      <w:lvlJc w:val="left"/>
      <w:pPr>
        <w:ind w:left="2214" w:hanging="1440"/>
      </w:pPr>
    </w:lvl>
    <w:lvl w:ilvl="6">
      <w:start w:val="1"/>
      <w:numFmt w:val="decimal"/>
      <w:lvlText w:val="%1.%2.%3.%4.%5.%6.%7."/>
      <w:lvlJc w:val="left"/>
      <w:pPr>
        <w:ind w:left="2574" w:hanging="1800"/>
      </w:pPr>
    </w:lvl>
    <w:lvl w:ilvl="7">
      <w:start w:val="1"/>
      <w:numFmt w:val="decimal"/>
      <w:lvlText w:val="%1.%2.%3.%4.%5.%6.%7.%8."/>
      <w:lvlJc w:val="left"/>
      <w:pPr>
        <w:ind w:left="2574" w:hanging="1800"/>
      </w:pPr>
    </w:lvl>
    <w:lvl w:ilvl="8">
      <w:start w:val="1"/>
      <w:numFmt w:val="decimal"/>
      <w:lvlText w:val="%1.%2.%3.%4.%5.%6.%7.%8.%9."/>
      <w:lvlJc w:val="left"/>
      <w:pPr>
        <w:ind w:left="2934" w:hanging="2160"/>
      </w:pPr>
    </w:lvl>
  </w:abstractNum>
  <w:abstractNum w:abstractNumId="13" w15:restartNumberingAfterBreak="0">
    <w:nsid w:val="466136BD"/>
    <w:multiLevelType w:val="multilevel"/>
    <w:tmpl w:val="51D2695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55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4" w15:restartNumberingAfterBreak="0">
    <w:nsid w:val="47181E00"/>
    <w:multiLevelType w:val="multilevel"/>
    <w:tmpl w:val="A2DE9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935" w:hanging="1215"/>
      </w:pPr>
    </w:lvl>
    <w:lvl w:ilvl="2">
      <w:start w:val="1"/>
      <w:numFmt w:val="decimal"/>
      <w:lvlText w:val="%1.%2.%3"/>
      <w:lvlJc w:val="left"/>
      <w:pPr>
        <w:ind w:left="2295" w:hanging="1215"/>
      </w:pPr>
    </w:lvl>
    <w:lvl w:ilvl="3">
      <w:start w:val="1"/>
      <w:numFmt w:val="decimal"/>
      <w:lvlText w:val="%1.%2.%3.%4"/>
      <w:lvlJc w:val="left"/>
      <w:pPr>
        <w:ind w:left="2655" w:hanging="1215"/>
      </w:pPr>
    </w:lvl>
    <w:lvl w:ilvl="4">
      <w:start w:val="1"/>
      <w:numFmt w:val="decimal"/>
      <w:lvlText w:val="%1.%2.%3.%4.%5"/>
      <w:lvlJc w:val="left"/>
      <w:pPr>
        <w:ind w:left="3015" w:hanging="1215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5" w15:restartNumberingAfterBreak="0">
    <w:nsid w:val="519C173E"/>
    <w:multiLevelType w:val="multilevel"/>
    <w:tmpl w:val="2110C1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51CD6379"/>
    <w:multiLevelType w:val="multilevel"/>
    <w:tmpl w:val="8EDABB50"/>
    <w:lvl w:ilvl="0">
      <w:start w:val="1"/>
      <w:numFmt w:val="decimal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lvlText w:val="%1.%2"/>
      <w:lvlJc w:val="left"/>
      <w:pPr>
        <w:ind w:left="7168" w:hanging="363"/>
      </w:pPr>
    </w:lvl>
    <w:lvl w:ilvl="2">
      <w:start w:val="1"/>
      <w:numFmt w:val="decimalZero"/>
      <w:lvlText w:val="%1.%2.%3"/>
      <w:lvlJc w:val="left"/>
      <w:pPr>
        <w:ind w:left="7735" w:hanging="363"/>
      </w:pPr>
    </w:lvl>
    <w:lvl w:ilvl="3">
      <w:start w:val="1"/>
      <w:numFmt w:val="decimal"/>
      <w:lvlText w:val="%1.%2.%3.%4"/>
      <w:lvlJc w:val="left"/>
      <w:pPr>
        <w:ind w:left="8302" w:hanging="363"/>
      </w:pPr>
    </w:lvl>
    <w:lvl w:ilvl="4">
      <w:start w:val="1"/>
      <w:numFmt w:val="decimal"/>
      <w:lvlText w:val="%1.%2.%3.%4.%5"/>
      <w:lvlJc w:val="left"/>
      <w:pPr>
        <w:ind w:left="8869" w:hanging="363"/>
      </w:pPr>
    </w:lvl>
    <w:lvl w:ilvl="5">
      <w:start w:val="1"/>
      <w:numFmt w:val="decimal"/>
      <w:lvlText w:val="%1.%2.%3.%4.%5.%6"/>
      <w:lvlJc w:val="left"/>
      <w:pPr>
        <w:ind w:left="9436" w:hanging="363"/>
      </w:pPr>
    </w:lvl>
    <w:lvl w:ilvl="6">
      <w:start w:val="1"/>
      <w:numFmt w:val="decimal"/>
      <w:lvlText w:val="%1.%2.%3.%4.%5.%6.%7"/>
      <w:lvlJc w:val="left"/>
      <w:pPr>
        <w:ind w:left="10003" w:hanging="363"/>
      </w:pPr>
    </w:lvl>
    <w:lvl w:ilvl="7">
      <w:start w:val="1"/>
      <w:numFmt w:val="decimal"/>
      <w:lvlText w:val="%1.%2.%3.%4.%5.%6.%7.%8"/>
      <w:lvlJc w:val="left"/>
      <w:pPr>
        <w:ind w:left="10570" w:hanging="363"/>
      </w:pPr>
    </w:lvl>
    <w:lvl w:ilvl="8">
      <w:start w:val="1"/>
      <w:numFmt w:val="decimal"/>
      <w:lvlText w:val="%1.%2.%3.%4.%5.%6.%7.%8.%9"/>
      <w:lvlJc w:val="left"/>
      <w:pPr>
        <w:ind w:left="11137" w:hanging="363"/>
      </w:pPr>
    </w:lvl>
  </w:abstractNum>
  <w:abstractNum w:abstractNumId="17" w15:restartNumberingAfterBreak="0">
    <w:nsid w:val="7AD21563"/>
    <w:multiLevelType w:val="multilevel"/>
    <w:tmpl w:val="A4B8C92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476" w:hanging="108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534" w:hanging="144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18" w15:restartNumberingAfterBreak="0">
    <w:nsid w:val="7CDB33A2"/>
    <w:multiLevelType w:val="hybridMultilevel"/>
    <w:tmpl w:val="FA40F8A4"/>
    <w:lvl w:ilvl="0" w:tplc="71A0A4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0F06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D063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1EC1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784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AECA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4E59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9CA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76A9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15"/>
  </w:num>
  <w:num w:numId="7">
    <w:abstractNumId w:val="13"/>
  </w:num>
  <w:num w:numId="8">
    <w:abstractNumId w:val="3"/>
  </w:num>
  <w:num w:numId="9">
    <w:abstractNumId w:val="17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8"/>
  </w:num>
  <w:num w:numId="16">
    <w:abstractNumId w:val="7"/>
  </w:num>
  <w:num w:numId="17">
    <w:abstractNumId w:val="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B2"/>
    <w:rsid w:val="002B5583"/>
    <w:rsid w:val="002D37AC"/>
    <w:rsid w:val="00737B20"/>
    <w:rsid w:val="00885140"/>
    <w:rsid w:val="00E04DB2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BFCB9-3323-40C6-B145-B5F85E4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  <w:rPr>
      <w:lang w:eastAsia="ru-RU"/>
    </w:rPr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  <w:style w:type="paragraph" w:styleId="afe">
    <w:name w:val="Revision"/>
    <w:hidden/>
    <w:uiPriority w:val="99"/>
    <w:semiHidden/>
    <w:rPr>
      <w:lang w:eastAsia="ru-RU"/>
    </w:rPr>
  </w:style>
  <w:style w:type="character" w:styleId="aff">
    <w:name w:val="annotation reference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semiHidden/>
    <w:unhideWhenUsed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unhideWhenUsed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5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5D2D-943C-4B83-912A-AE64ABE0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17</cp:revision>
  <cp:lastPrinted>2024-04-04T07:58:00Z</cp:lastPrinted>
  <dcterms:created xsi:type="dcterms:W3CDTF">2025-04-30T12:01:00Z</dcterms:created>
  <dcterms:modified xsi:type="dcterms:W3CDTF">2024-04-04T08:12:00Z</dcterms:modified>
  <cp:version>983040</cp:version>
</cp:coreProperties>
</file>