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0"/>
        <w:spacing w:line="240" w:lineRule="exact"/>
        <w:rPr>
          <w:b/>
          <w:bCs/>
        </w:rPr>
      </w:pPr>
      <w:r>
        <w:rPr>
          <w:b/>
        </w:rPr>
        <w:t xml:space="preserve">О реорганизации муниципального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автономного учреждения культуры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города Перми «Центр досуга «Альянс»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и муниципального автономного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учреждения культуры «Дворец культуры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«Искра» путем присоединения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муниципального автономного учреждения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культуры города Перми «Центр досуга «Альянс»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к муниципальному автономному учреждению </w:t>
      </w:r>
      <w:r>
        <w:rPr>
          <w:b/>
        </w:rPr>
      </w:r>
      <w:r>
        <w:rPr>
          <w:b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  <w:t xml:space="preserve">культуры «Дворец культуры «Искра»</w:t>
      </w:r>
      <w:r>
        <w:rPr>
          <w:b/>
        </w:rPr>
      </w:r>
      <w:r>
        <w:rPr>
          <w:b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</w:t>
      </w:r>
      <w:r>
        <w:rPr>
          <w:sz w:val="28"/>
          <w:szCs w:val="28"/>
        </w:rPr>
        <w:t xml:space="preserve">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муниципальное автономное учреждение культуры города Перми «Центр досуга «А</w:t>
      </w:r>
      <w:r>
        <w:rPr>
          <w:sz w:val="28"/>
          <w:szCs w:val="28"/>
        </w:rPr>
        <w:t xml:space="preserve">льянс» и муниципальное автономное учреждение культуры «Дворец культуры «Искра» путем присоединения муниципального автономного учреждения культуры города Перми «Центр досуга «Альянс» к муниципальному автономному учреждению культуры «Дворец культуры «Искра».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автономному учреждению культуры, созданному в процессе реорганизации, установить наименование «Муниципальное автономное учреждение культуры «Дворец культуры «Искра».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Сохранить основные цели деятельности реорганизуемых муниципального ав</w:t>
      </w:r>
      <w:r>
        <w:rPr>
          <w:sz w:val="28"/>
          <w:szCs w:val="28"/>
        </w:rPr>
        <w:t xml:space="preserve">тономного учреждения культуры города Перми «Центр досуга «Альянс», муниципального автономного учреждения культуры «Дворец культуры «Искра» путем внесения изменений в устав муниципального автономного учреждения культуры, созданного в процессе реорганизации.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культуры и молод</w:t>
      </w:r>
      <w:r>
        <w:rPr>
          <w:sz w:val="28"/>
          <w:szCs w:val="28"/>
        </w:rPr>
        <w:t xml:space="preserve">ежной политики администрации города Перми, осуществляющему функции и полномочия учредителя муниципального автономного учреждения культуры «Дворец культуры «Искра», в установленном порядке в соответствии с действующим законодательством Российской Федерации: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организовать процедуру реорганизации муниципального автономного учреждения культуры города Перми «</w:t>
      </w:r>
      <w:r>
        <w:rPr>
          <w:sz w:val="28"/>
          <w:szCs w:val="28"/>
        </w:rPr>
        <w:t xml:space="preserve">Центр досуга «Альянс» и муниципального автономного учреждения культуры «Дворец культуры «Искра» путем присоединения муниципального автономного учреждения культуры города Перми «Центр досуга «Альянс» к муниципальному автономному учреждению культуры «Дворец </w:t>
      </w:r>
      <w:r>
        <w:rPr>
          <w:sz w:val="28"/>
          <w:szCs w:val="28"/>
        </w:rPr>
        <w:t xml:space="preserve">культуры «Искра» не позднее 6 месяцев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создать комиссию по реорганизации вышеуказанных муниципальных учреждений культуры не позднее 7 календарных дней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утвердить передаточный акт по состоянию на 01 июля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произвести расходы, связанные с реорганизацией указанных муниципальных учреждений культуры, в пределах средств, утвержденных в бюджете города Перми на 2025 год и плановый период 2026-2027 годов по отрасли «Культура»;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утвердить перечни недвижимого, особо ценного движи</w:t>
      </w:r>
      <w:r>
        <w:rPr>
          <w:sz w:val="28"/>
          <w:szCs w:val="28"/>
        </w:rPr>
        <w:t xml:space="preserve">мого и иного имущества, передаваемого муниципальному автономному учреждению культуры «Дворец культуры «Искра», по согласованию с департаментом имущественных отношений администрации города Перми не позднее 3 месяцев с даты окончания процедуры реорганизации;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обеспечить организацию перевода контингента из муниципального автономного учреждения культуры города Перми «Центр досуга «Альянс» в муниципальное автономное учреждение культуры «Дворец культуры «Искра» с 01 июля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информировать жителей города Перми о процедуре реорганизации указанных муниципальных учреждений культуры не позднее 30 календарных дней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обеспечить проведение адресной разъяснительной работы со всеми участниками дея</w:t>
      </w:r>
      <w:r>
        <w:rPr>
          <w:sz w:val="28"/>
          <w:szCs w:val="28"/>
        </w:rPr>
        <w:t xml:space="preserve">тельности муниципального автономного учреждения культуры города Перми «Центр досуга «Альянс», муниципального автономного учреждения культуры «Дворец культуры «Искра» не позднее 30 календарных дней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провести иные юридические значимые действия, связанные </w:t>
      </w:r>
      <w:r>
        <w:rPr>
          <w:sz w:val="28"/>
          <w:szCs w:val="28"/>
        </w:rPr>
        <w:br/>
        <w:t xml:space="preserve">с реорганизацией указанных муниципальных учреждений культуры, не позднее </w:t>
      </w:r>
      <w:r>
        <w:rPr>
          <w:sz w:val="28"/>
          <w:szCs w:val="28"/>
        </w:rPr>
        <w:br/>
        <w:t xml:space="preserve">6 месяцев со дня официального опубликования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Муниципальному автономному учреждению культуры «Дворец культуры «Искра» в порядке и сроки, установленные действующим законодательством Российской Федерации: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процедуры реорганизации путем п</w:t>
      </w:r>
      <w:r>
        <w:rPr>
          <w:sz w:val="28"/>
          <w:szCs w:val="28"/>
        </w:rPr>
        <w:t xml:space="preserve">рисоединения муниципального автономного учреждения культуры города Перми «Центр досуга «Альянс» к муниципальному автономному учреждению культуры «Дворец культуры «Искра» не позднее 3 рабочих дней со дня официального опубликования настоящего постановления;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в средствах массовой информации, в которых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опубликовываются данные о государственной регистрации юридических лиц,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уведомление о своей реорганизации не позднее 3 календарных дней после внесения в единый государственный реестр юридических лиц записи о начале процедуры реорганизации и повторно через 30 дней после опубликования первого </w:t>
      </w:r>
      <w:r>
        <w:rPr>
          <w:sz w:val="28"/>
          <w:szCs w:val="28"/>
        </w:rPr>
        <w:br/>
        <w:t xml:space="preserve">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обеспечить права и законные интересы получателей услуг муниципального автономного учреждения культуры города Перми «Центр досуга «Альянс» и муниципального автономного учреждения культуры «Дворец культуры «Искра»;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</w:rPr>
        <w:t xml:space="preserve">для внесения изменений в реестр муниципального имущества города Перми представить в департамент имущественных отношений администрации </w:t>
      </w:r>
      <w:r>
        <w:rPr>
          <w:sz w:val="28"/>
          <w:szCs w:val="28"/>
        </w:rPr>
        <w:br/>
        <w:t xml:space="preserve">города Перми копию листа записи о внесении изменений в Единый </w:t>
      </w:r>
      <w:r>
        <w:rPr>
          <w:sz w:val="28"/>
          <w:szCs w:val="28"/>
        </w:rPr>
        <w:br/>
        <w:t xml:space="preserve">государственный реестр юридических лиц о реорганизации учреждения, копию устава учреждения не позднее 5 календарных дней с даты государственной </w:t>
      </w:r>
      <w:r>
        <w:rPr>
          <w:sz w:val="28"/>
          <w:szCs w:val="28"/>
        </w:rPr>
        <w:br/>
        <w:t xml:space="preserve">регистрации, один экземпляр утвержденного передаточного акта, а также перечни недвижимого, особо ценного движимого и иного имущества, передаваемого </w:t>
      </w:r>
      <w:r>
        <w:rPr>
          <w:sz w:val="28"/>
          <w:szCs w:val="28"/>
        </w:rPr>
        <w:br/>
        <w:t xml:space="preserve">на праве оперативного управления муниципальному автономному учреждению культуры «Дворец культуры «Искра», не позднее 5 календарных дней </w:t>
      </w:r>
      <w:r>
        <w:rPr>
          <w:sz w:val="28"/>
          <w:szCs w:val="28"/>
        </w:rPr>
        <w:br/>
        <w:t xml:space="preserve">с даты издания распоряжения начальника департамента культуры и молодежной политики администрации города Перми об утверждении указанных перечней;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направить в орган, осуществляющий государственный кадастровый учет, государственную регистрацию прав, ведение Единого государственного реестра недвижимости, заявления о внесении изменений в сведения Единого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государственного реестра недвижимости в отношении зарегистрированных прав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недвижимое имущество, находящееся в оперативном управлении, в течение 14 календарных дней со дня государственной регистрации в Единый государственный реестр юр</w:t>
      </w:r>
      <w:r>
        <w:rPr>
          <w:sz w:val="28"/>
          <w:szCs w:val="28"/>
        </w:rPr>
        <w:t xml:space="preserve">идических лиц изменений в устав.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Департаменту имущественных отношений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закрепить в установленном порядке за муниципальным автономным учреждением культуры «Дворец культуры «Искра» на праве оперативного управления недвижимое, особо ценное движим</w:t>
      </w:r>
      <w:r>
        <w:rPr>
          <w:sz w:val="28"/>
          <w:szCs w:val="28"/>
        </w:rPr>
        <w:t xml:space="preserve">ое и иное имущество согласно перечням недвижимого, особо ценного движимого и иного имущества, утвержденным распоряжением начальника департамента культуры и молодежной политики администрации города Перми, не позднее 1 месяца после представления учреждением </w:t>
      </w:r>
      <w:r>
        <w:rPr>
          <w:sz w:val="28"/>
          <w:szCs w:val="28"/>
        </w:rPr>
        <w:br/>
        <w:t xml:space="preserve">в департамент имущественных отношений администрации города Перми копий устава учреждения, </w:t>
      </w:r>
      <w:r>
        <w:rPr>
          <w:sz w:val="28"/>
          <w:szCs w:val="28"/>
        </w:rPr>
        <w:t xml:space="preserve">листа записи</w:t>
      </w:r>
      <w:r>
        <w:rPr>
          <w:sz w:val="28"/>
          <w:szCs w:val="28"/>
        </w:rPr>
        <w:t xml:space="preserve"> о внесении изменений в Ед</w:t>
      </w:r>
      <w:r>
        <w:rPr>
          <w:sz w:val="28"/>
          <w:szCs w:val="28"/>
        </w:rPr>
        <w:t xml:space="preserve">иный государственный реестр юридических лиц и распоряжения начальника департамента культуры и молодежной политики администрации города Перми об утверждении перечней недвижимого, особо ценного движимого и иного имущества на электронном и бумажном носителях;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внести соответствующие изменения в реестр муниципального имущества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Главы города Перми                           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r/>
      <w:bookmarkEnd w:id="0"/>
      <w:r>
        <w:rPr>
          <w:sz w:val="28"/>
          <w:szCs w:val="28"/>
        </w:rPr>
        <w:t xml:space="preserve">Я.В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rPr>
      <w:sz w:val="48"/>
      <w:szCs w:val="48"/>
    </w:rPr>
  </w:style>
  <w:style w:type="character" w:styleId="724" w:customStyle="1">
    <w:name w:val="Subtitle Char"/>
    <w:basedOn w:val="711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Caption Char"/>
    <w:basedOn w:val="711"/>
    <w:uiPriority w:val="35"/>
    <w:rPr>
      <w:b/>
      <w:bCs/>
      <w:color w:val="5b9bd5" w:themeColor="accent1"/>
      <w:sz w:val="18"/>
      <w:szCs w:val="18"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1"/>
    <w:next w:val="70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1"/>
    <w:link w:val="739"/>
    <w:uiPriority w:val="10"/>
    <w:rPr>
      <w:sz w:val="48"/>
      <w:szCs w:val="48"/>
    </w:rPr>
  </w:style>
  <w:style w:type="paragraph" w:styleId="741">
    <w:name w:val="Subtitle"/>
    <w:basedOn w:val="701"/>
    <w:next w:val="701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1"/>
    <w:link w:val="741"/>
    <w:uiPriority w:val="11"/>
    <w:rPr>
      <w:sz w:val="24"/>
      <w:szCs w:val="24"/>
    </w:rPr>
  </w:style>
  <w:style w:type="paragraph" w:styleId="743">
    <w:name w:val="Quote"/>
    <w:basedOn w:val="701"/>
    <w:next w:val="701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1"/>
    <w:next w:val="701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1"/>
    <w:uiPriority w:val="99"/>
  </w:style>
  <w:style w:type="character" w:styleId="748" w:customStyle="1">
    <w:name w:val="Footer Char"/>
    <w:basedOn w:val="711"/>
    <w:uiPriority w:val="99"/>
  </w:style>
  <w:style w:type="character" w:styleId="749" w:customStyle="1">
    <w:name w:val="Название объекта Знак"/>
    <w:basedOn w:val="711"/>
    <w:link w:val="892"/>
    <w:uiPriority w:val="35"/>
    <w:rPr>
      <w:b/>
      <w:bCs/>
      <w:color w:val="5b9bd5" w:themeColor="accent1"/>
      <w:sz w:val="18"/>
      <w:szCs w:val="18"/>
    </w:rPr>
  </w:style>
  <w:style w:type="table" w:styleId="750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01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1"/>
    <w:uiPriority w:val="99"/>
    <w:unhideWhenUsed/>
    <w:rPr>
      <w:vertAlign w:val="superscript"/>
    </w:rPr>
  </w:style>
  <w:style w:type="paragraph" w:styleId="878">
    <w:name w:val="endnote text"/>
    <w:basedOn w:val="701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1"/>
    <w:uiPriority w:val="99"/>
    <w:semiHidden/>
    <w:unhideWhenUsed/>
    <w:rPr>
      <w:vertAlign w:val="superscript"/>
    </w:rPr>
  </w:style>
  <w:style w:type="paragraph" w:styleId="881">
    <w:name w:val="toc 1"/>
    <w:basedOn w:val="701"/>
    <w:next w:val="701"/>
    <w:uiPriority w:val="39"/>
    <w:unhideWhenUsed/>
    <w:pPr>
      <w:spacing w:after="57"/>
    </w:pPr>
  </w:style>
  <w:style w:type="paragraph" w:styleId="882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3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4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5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6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7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8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9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1"/>
    <w:next w:val="701"/>
    <w:uiPriority w:val="99"/>
    <w:unhideWhenUsed/>
  </w:style>
  <w:style w:type="paragraph" w:styleId="892">
    <w:name w:val="Caption"/>
    <w:basedOn w:val="701"/>
    <w:next w:val="701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01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01"/>
    <w:pPr>
      <w:ind w:right="-1"/>
      <w:jc w:val="both"/>
    </w:pPr>
    <w:rPr>
      <w:sz w:val="26"/>
    </w:rPr>
  </w:style>
  <w:style w:type="paragraph" w:styleId="895">
    <w:name w:val="Footer"/>
    <w:basedOn w:val="701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11"/>
  </w:style>
  <w:style w:type="paragraph" w:styleId="897">
    <w:name w:val="Header"/>
    <w:basedOn w:val="701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01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13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3"/>
    <w:uiPriority w:val="99"/>
    <w:semiHidden/>
    <w:unhideWhenUsed/>
  </w:style>
  <w:style w:type="numbering" w:styleId="924" w:customStyle="1">
    <w:name w:val="Нет списка111"/>
    <w:next w:val="713"/>
    <w:uiPriority w:val="99"/>
    <w:semiHidden/>
    <w:unhideWhenUsed/>
  </w:style>
  <w:style w:type="paragraph" w:styleId="925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13"/>
    <w:uiPriority w:val="99"/>
    <w:semiHidden/>
    <w:unhideWhenUsed/>
  </w:style>
  <w:style w:type="numbering" w:styleId="974" w:customStyle="1">
    <w:name w:val="Нет списка3"/>
    <w:next w:val="713"/>
    <w:uiPriority w:val="99"/>
    <w:semiHidden/>
    <w:unhideWhenUsed/>
  </w:style>
  <w:style w:type="paragraph" w:styleId="975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13"/>
    <w:uiPriority w:val="99"/>
    <w:semiHidden/>
    <w:unhideWhenUsed/>
  </w:style>
  <w:style w:type="paragraph" w:styleId="979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8</cp:revision>
  <dcterms:created xsi:type="dcterms:W3CDTF">2025-05-21T07:26:00Z</dcterms:created>
  <dcterms:modified xsi:type="dcterms:W3CDTF">2025-05-23T05:31:26Z</dcterms:modified>
</cp:coreProperties>
</file>