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6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65" y="846918"/>
                            <a:ext cx="1539395" cy="2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3034" y="846918"/>
                            <a:ext cx="1090405" cy="25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02791680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64;visibility:visible;" fillcolor="#FFFFFF" stroked="f">
                  <v:textbox inset="0,0,0,0">
                    <w:txbxContent>
                      <w:p>
                        <w:pPr>
                          <w:pStyle w:val="7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65;top:8469;width:15393;height:255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030;top:8469;width:10904;height:255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О силах и</w:t>
      </w:r>
      <w:r>
        <w:rPr>
          <w:rFonts w:ascii="Times New Roman" w:hAnsi="Times New Roman" w:eastAsia="Times New Roman"/>
          <w:color w:val="000000"/>
          <w:lang w:bidi="ru-RU"/>
        </w:rPr>
        <w:t xml:space="preserve"> средствах постоянной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готовности городского звена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территориальной подсистемы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единой государственной системы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предупреждения и ликвидации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чрезвычайных ситуаций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Пермского края и о внесении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изменений в Положение </w:t>
      </w:r>
      <w:r>
        <w:rPr>
          <w:rFonts w:ascii="Times New Roman" w:hAnsi="Times New Roman" w:eastAsia="Times New Roman"/>
          <w:color w:val="000000"/>
          <w:lang w:bidi="ru-RU"/>
        </w:rPr>
        <w:t xml:space="preserve">о городском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звене территориальной </w:t>
      </w:r>
      <w:r>
        <w:rPr>
          <w:rFonts w:ascii="Times New Roman" w:hAnsi="Times New Roman" w:eastAsia="Times New Roman"/>
          <w:color w:val="000000"/>
          <w:lang w:bidi="ru-RU"/>
        </w:rPr>
        <w:t xml:space="preserve">подсистемы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единой государственной системы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предупреждения и ликвидации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чрезвычайных ситуаций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Пермского края, утвержденное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  <w:lang w:bidi="ru-RU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постановлением администрации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  <w:lang w:bidi="ru-RU"/>
        </w:rPr>
      </w:r>
    </w:p>
    <w:p>
      <w:pPr>
        <w:pStyle w:val="1011"/>
        <w:ind w:right="0"/>
        <w:jc w:val="left"/>
        <w:spacing w:after="0" w:line="238" w:lineRule="exact"/>
        <w:shd w:val="clear" w:color="auto" w:fill="auto"/>
        <w:rPr>
          <w:rFonts w:ascii="Times New Roman" w:hAnsi="Times New Roman" w:eastAsia="Times New Roman"/>
          <w:color w:val="000000"/>
        </w:rPr>
        <w:suppressLineNumbers w:val="0"/>
      </w:pPr>
      <w:r>
        <w:rPr>
          <w:rFonts w:ascii="Times New Roman" w:hAnsi="Times New Roman" w:eastAsia="Times New Roman"/>
          <w:color w:val="000000"/>
          <w:lang w:bidi="ru-RU"/>
        </w:rPr>
        <w:t xml:space="preserve">города Перми от 24.11.2006 № 2314</w:t>
      </w:r>
      <w:r>
        <w:rPr>
          <w:rFonts w:ascii="Times New Roman" w:hAnsi="Times New Roman" w:eastAsia="Times New Roman"/>
          <w:color w:val="000000"/>
        </w:rPr>
      </w:r>
    </w:p>
    <w:p>
      <w:pPr>
        <w:pStyle w:val="1011"/>
        <w:ind w:right="0"/>
        <w:jc w:val="left"/>
        <w:spacing w:after="0" w:line="240" w:lineRule="auto"/>
        <w:shd w:val="clear" w:color="auto" w:fill="auto"/>
        <w:rPr>
          <w:rFonts w:ascii="Times New Roman" w:hAnsi="Times New Roman"/>
          <w:b w:val="0"/>
          <w:bCs w:val="0"/>
        </w:rPr>
        <w:suppressLineNumbers w:val="0"/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pStyle w:val="1011"/>
        <w:ind w:right="5760"/>
        <w:jc w:val="left"/>
        <w:spacing w:after="0" w:line="240" w:lineRule="auto"/>
        <w:shd w:val="clear" w:color="auto" w:fill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pStyle w:val="1011"/>
        <w:ind w:right="5760"/>
        <w:jc w:val="left"/>
        <w:spacing w:after="0" w:line="240" w:lineRule="auto"/>
        <w:shd w:val="clear" w:color="auto" w:fill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pStyle w:val="954"/>
        <w:ind w:firstLine="709"/>
        <w:jc w:val="both"/>
      </w:pPr>
      <w:r>
        <w:t xml:space="preserve">В соответствии с Федеральным </w:t>
      </w:r>
      <w:hyperlink r:id="rId12" w:tooltip="https://login.consultant.ru/link/?req=doc&amp;base=LAW&amp;n=100593&amp;date=17.11.2022" w:history="1">
        <w:r>
          <w:t xml:space="preserve">законом</w:t>
        </w:r>
      </w:hyperlink>
      <w:r>
        <w:t xml:space="preserve"> от 21 декабря 1994 г. № 68-ФЗ </w:t>
      </w:r>
      <w:r>
        <w:br/>
        <w:t xml:space="preserve">«О защите населения и территорий от чрезвычайных ситуаций природного </w:t>
      </w:r>
      <w:r>
        <w:t xml:space="preserve">и техногенного ха</w:t>
      </w:r>
      <w:r>
        <w:t xml:space="preserve">рактера», постановлением Правительства Российской Федерации от 08 ноября 2013 г. № 1007 «О силах и средствах единой государственной системы предупреждения и ликвидации чрезвычайных ситуаций», постановлениями Правительства Пермского края от 15 июня 2007 г. </w:t>
      </w:r>
      <w:r>
        <w:t xml:space="preserve">№</w:t>
      </w:r>
      <w:hyperlink r:id="rId13" w:tooltip="https://login.consultant.ru/link/?req=doc&amp;base=RLAW368&amp;n=136256&amp;date=17.11.2022" w:history="1">
        <w:r>
          <w:t xml:space="preserve"> 117-п</w:t>
        </w:r>
      </w:hyperlink>
      <w:r>
        <w:t xml:space="preserve"> «О силах и средствах территориальной подсистемы единой государственной системы предупреждения и ликвидации чрезвычайных ситуаций Пермского края», Уставом города Перми, в целях актуализации правовых актов администрации города Перми </w:t>
      </w:r>
      <w:r/>
    </w:p>
    <w:p>
      <w:pPr>
        <w:pStyle w:val="1012"/>
        <w:jc w:val="both"/>
        <w:spacing w:before="0" w:after="0" w:line="240" w:lineRule="auto"/>
        <w:shd w:val="clear" w:color="auto" w:fill="auto"/>
      </w:pPr>
      <w:r>
        <w:rPr>
          <w:rFonts w:ascii="Times New Roman" w:hAnsi="Times New Roman"/>
        </w:rPr>
        <w:t xml:space="preserve">администрация города Перми ПОСТАНОВЛЯЕТ:</w:t>
      </w:r>
      <w:r/>
    </w:p>
    <w:p>
      <w:pPr>
        <w:pStyle w:val="954"/>
        <w:ind w:firstLine="709"/>
        <w:jc w:val="both"/>
      </w:pPr>
      <w:r>
        <w:t xml:space="preserve">1. </w:t>
      </w:r>
      <w:r>
        <w:t xml:space="preserve">Определить</w:t>
      </w:r>
      <w:r>
        <w:t xml:space="preserve">, что к силам и средствам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 относятся силы и средства ликвидации чрезвычайных ситуа</w:t>
      </w:r>
      <w:r>
        <w:t xml:space="preserve">ци</w:t>
      </w:r>
      <w:r>
        <w:t xml:space="preserve">й аварийно-спасательных служб, аварийно-спасательных формирований, учреждений администрации города </w:t>
        <w:br/>
        <w:t xml:space="preserve">Перми, организаций, осуществляющих в пределах своей компетенции защиту </w:t>
        <w:br/>
        <w:t xml:space="preserve">населения и территорий от чрезвычайных ситуаций природного и техногенного характера.</w:t>
      </w:r>
      <w:r/>
    </w:p>
    <w:p>
      <w:pPr>
        <w:pStyle w:val="954"/>
        <w:ind w:firstLine="709"/>
        <w:jc w:val="both"/>
      </w:pPr>
      <w:r>
        <w:t xml:space="preserve">2. Утвердить прилагаемые состав и структуру сил </w:t>
      </w:r>
      <w:r>
        <w:t xml:space="preserve">и средств </w:t>
      </w:r>
      <w:r>
        <w:t xml:space="preserve">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</w:t>
      </w:r>
      <w:r>
        <w:t xml:space="preserve">.</w:t>
      </w:r>
      <w:r/>
    </w:p>
    <w:p>
      <w:pPr>
        <w:pStyle w:val="954"/>
        <w:ind w:firstLine="709"/>
        <w:jc w:val="both"/>
      </w:pPr>
      <w:r>
        <w:t xml:space="preserve">3. Рекомендовать организациям</w:t>
      </w:r>
      <w:r>
        <w:t xml:space="preserve">,</w:t>
      </w:r>
      <w:r>
        <w:t xml:space="preserve"> входящим в состав сил и средств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края:</w:t>
      </w:r>
      <w:r/>
    </w:p>
    <w:p>
      <w:pPr>
        <w:pStyle w:val="954"/>
        <w:ind w:firstLine="709"/>
        <w:jc w:val="both"/>
      </w:pPr>
      <w:r>
        <w:t xml:space="preserve">3.1. уточнить состав и структуру сил </w:t>
      </w:r>
      <w:r>
        <w:t xml:space="preserve">и средств </w:t>
      </w:r>
      <w:r>
        <w:t xml:space="preserve">постоянной готовности;</w:t>
      </w:r>
      <w:r/>
    </w:p>
    <w:p>
      <w:pPr>
        <w:pStyle w:val="954"/>
        <w:ind w:firstLine="709"/>
        <w:jc w:val="both"/>
      </w:pPr>
      <w:r>
        <w:t xml:space="preserve">3.2. обеспечить подготовку сил</w:t>
      </w:r>
      <w:r>
        <w:t xml:space="preserve"> и средств</w:t>
      </w:r>
      <w:r>
        <w:t xml:space="preserve"> постоянной готовности и их оснащение;</w:t>
      </w:r>
      <w:r/>
    </w:p>
    <w:p>
      <w:pPr>
        <w:pStyle w:val="954"/>
        <w:ind w:firstLine="709"/>
        <w:jc w:val="both"/>
      </w:pPr>
      <w:r>
        <w:t xml:space="preserve">3.3. организовать учет сил и средств постоянной готовности, хранение </w:t>
      </w:r>
      <w:r>
        <w:br/>
        <w:t xml:space="preserve">и обновление сведений о них.</w:t>
      </w:r>
      <w:r/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Внести в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оложение о городском звене территориальной подсистемы единой государственной системы предупреждения и ликвидации чрезвычайных ситуаций Пермского края, утвержденное постановлением администрации города Перми от 24 ноября 2006 г. № 2314 (в ред. от 27.04.2010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211, от 27.06.2012 </w:t>
        <w:br/>
        <w:t xml:space="preserve">№ 338, от 08.05.2013 № 355, от 16.03.2015 № 130,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16.02.2017 № 112, </w:t>
        <w:br/>
        <w:t xml:space="preserve">от 08.12.2020 № 1238, от 16.08.2022 № 692, от 04.07.2023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575), 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пункте 2 слова «силы и средства администрации города» заменить словами «силы и средства администрации города Перми, муниципальных учреждений города Перми»;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в пункте 11: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4.2.1. в абзаце первом после слов «администрации города Перми,» дополнить словами «муниципальных учреждений города Перми,»;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4.2.2. абзац второй признать утратившим силу;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в пун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кте 12: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4.3.1. абзац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второй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«Основу сил постоянной готовности составляют аварийно-спасательн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 службы, аварийно-спасательные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ЧС </w:t>
        <w:br/>
        <w:t xml:space="preserve">в течение не менее трех суток.»;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4.3.2. абзац третий признать утратившим силу.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Признать утратившими силу постановления администрации города </w:t>
        <w:br/>
        <w:t xml:space="preserve">Перми: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11 июня 2010 г.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01 ноября 2012 г. № 719 «О внес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ении изменений в постановление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11 февраля 2014 г. № 79 «О внесении изменений в постановление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31 мая 2019 г. № 235 «О внес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ении изменений в постановление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14 декабря 2020 г. № 1255 «О внес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ении изменений в постановление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09 марта 2021 г. № 140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«О внесении изменений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br/>
        <w:t xml:space="preserve">от 11.06.2010 № 311 «О перечне сил постоянной готовности городского звена территориальной подсистемы единой государственной системы предупреждения </w:t>
        <w:br/>
        <w:t xml:space="preserve">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15 марта 2022 г. № 168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«О внесении изменений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br/>
        <w:t xml:space="preserve">от 11.06.2010 № 311 «О перечне сил постоянной готовности городского звена территориальной подсистемы единой государственной системы предупреждения </w:t>
        <w:br/>
        <w:t xml:space="preserve">и ликвидации чрезвычайных ситуаций Пермского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06 апреля 2022 г. № 253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«О внесении изменений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br/>
        <w:t xml:space="preserve">от 11.06.2010 № 311»;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от 08 ноября 2022 г. № 1138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«О внесении изменений в перечень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br/>
        <w:t xml:space="preserve">от 11.06.2010 № 311 «О перечне сил постоянной готовности городского звена территориальной подсистемы единой государственной системы предупреждения </w:t>
        <w:br/>
        <w:t xml:space="preserve">и ликвидации чрезвычайных ситуаций Пермского края».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</w:t>
      </w:r>
      <w:bookmarkStart w:id="0" w:name="undefined"/>
      <w:r/>
      <w:bookmarkEnd w:id="0"/>
      <w:r>
        <w:rPr>
          <w:sz w:val="28"/>
          <w:szCs w:val="28"/>
        </w:rPr>
        <w:t xml:space="preserve">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911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38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</w:t>
      </w:r>
      <w:r>
        <w:rPr>
          <w:sz w:val="28"/>
          <w:szCs w:val="28"/>
        </w:rPr>
        <w:t xml:space="preserve">да Перми                                                                      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5669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02.06.2025 № 375</w:t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3"/>
        <w:jc w:val="center"/>
        <w:spacing w:line="238" w:lineRule="exact"/>
      </w:pPr>
      <w:r>
        <w:rPr>
          <w:rFonts w:ascii="Times New Roman" w:hAnsi="Times New Roman" w:cs="Times New Roman"/>
          <w:sz w:val="28"/>
          <w:szCs w:val="28"/>
        </w:rPr>
        <w:t xml:space="preserve">СОСТАВ и СТРУКТУРА</w:t>
      </w:r>
      <w:r/>
    </w:p>
    <w:p>
      <w:pPr>
        <w:pStyle w:val="1013"/>
        <w:jc w:val="center"/>
        <w:spacing w:line="238" w:lineRule="exact"/>
      </w:pPr>
      <w:r>
        <w:rPr>
          <w:rFonts w:ascii="Times New Roman" w:hAnsi="Times New Roman" w:cs="Times New Roman"/>
          <w:sz w:val="28"/>
          <w:szCs w:val="28"/>
        </w:rPr>
        <w:t xml:space="preserve">сил </w:t>
      </w:r>
      <w:r>
        <w:rPr>
          <w:rFonts w:ascii="Times New Roman" w:hAnsi="Times New Roman" w:cs="Times New Roman"/>
          <w:sz w:val="28"/>
          <w:szCs w:val="28"/>
        </w:rPr>
        <w:t xml:space="preserve">и средств </w:t>
      </w:r>
      <w:r>
        <w:rPr>
          <w:rFonts w:ascii="Times New Roman" w:hAnsi="Times New Roman" w:cs="Times New Roman"/>
          <w:sz w:val="28"/>
          <w:szCs w:val="28"/>
        </w:rPr>
        <w:t xml:space="preserve">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841"/>
        <w:gridCol w:w="1236"/>
        <w:gridCol w:w="1014"/>
        <w:gridCol w:w="1297"/>
        <w:gridCol w:w="989"/>
        <w:gridCol w:w="992"/>
        <w:gridCol w:w="1134"/>
        <w:gridCol w:w="2126"/>
        <w:gridCol w:w="1844"/>
      </w:tblGrid>
      <w:tr>
        <w:tblPrEx/>
        <w:trPr>
          <w:trHeight w:val="279"/>
        </w:trPr>
        <w:tc>
          <w:tcPr>
            <w:shd w:val="clear" w:color="auto" w:fill="auto"/>
            <w:tcW w:w="251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организации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дислокации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2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состава организации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441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Выполняемые функции (специфика работы)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Ведомственная принадлежность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181"/>
        </w:trPr>
        <w:tc>
          <w:tcPr>
            <w:tcW w:w="251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численность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0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них в постоянной готовности / количество бригад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9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общее количество основных видов техники, ед./ </w:t>
            </w:r>
            <w:r>
              <w:rPr>
                <w:color w:val="000000"/>
                <w:sz w:val="24"/>
                <w:szCs w:val="24"/>
              </w:rPr>
              <w:t xml:space="preserve">из них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постоянной готовности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автомобильная всего, 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инженерная всего, 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специальная всего, 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841"/>
        <w:gridCol w:w="1245"/>
        <w:gridCol w:w="1010"/>
        <w:gridCol w:w="1300"/>
        <w:gridCol w:w="981"/>
        <w:gridCol w:w="992"/>
        <w:gridCol w:w="1134"/>
        <w:gridCol w:w="2126"/>
        <w:gridCol w:w="1844"/>
      </w:tblGrid>
      <w:tr>
        <w:tblPrEx/>
        <w:trPr>
          <w:trHeight w:val="0"/>
          <w:tblHeader/>
        </w:trPr>
        <w:tc>
          <w:tcPr>
            <w:shd w:val="clear" w:color="auto" w:fill="auto"/>
            <w:tcW w:w="251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9"/>
        </w:trPr>
        <w:tc>
          <w:tcPr>
            <w:gridSpan w:val="10"/>
            <w:shd w:val="clear" w:color="auto" w:fill="auto"/>
            <w:tcW w:w="14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Силы и средства городского звена территориальной подсистемы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091"/>
        </w:trPr>
        <w:tc>
          <w:tcPr>
            <w:shd w:val="clear" w:color="000000" w:fill="ffffff"/>
            <w:tcW w:w="251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Поисково-спасательный отряд муниципального казенного учреждения «Пермская городская служба спасения»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41" w:type="dxa"/>
            <w:textDirection w:val="lrTb"/>
            <w:noWrap w:val="false"/>
          </w:tcPr>
          <w:p>
            <w:pPr>
              <w:pStyle w:val="954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Ижевская, 25а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0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22/3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поисково-спасательных и других неотложных работ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«Пермская городская служба спасения»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9"/>
        </w:trPr>
        <w:tc>
          <w:tcPr>
            <w:shd w:val="clear" w:color="auto" w:fill="auto"/>
            <w:tcW w:w="251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Профессиональное аварийно-спасательное формирование ООО «Экологическая перспектива»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pStyle w:val="954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Шишкина, д. 5, оф. 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40/23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газоспасательные работы, поисково спасательные работы, работы по ликвидации разливов нефти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нефтепродуктов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территории РФ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«Экологическая перспектива»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2"/>
        </w:trPr>
        <w:tc>
          <w:tcPr>
            <w:shd w:val="clear" w:color="000000" w:fill="ffffff"/>
            <w:tcW w:w="25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аварийно-спасательное формирование Пермское территориальное подразделение Свердловского центра «ЭКОСПАС» – филиала АО «Центр аварийно-спасательных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экологических операций»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41" w:type="dxa"/>
            <w:textDirection w:val="lrTb"/>
            <w:noWrap w:val="false"/>
          </w:tcPr>
          <w:p>
            <w:pPr>
              <w:pStyle w:val="954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Васильева, 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0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6/2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газоспасательные работы, поисково спасательные работы, работы по ликвидации разливов нефти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нефтепродуктов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территории РФ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44" w:type="dxa"/>
            <w:textDirection w:val="lrTb"/>
            <w:noWrap w:val="false"/>
          </w:tcPr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пермское территориальное подразделение Свердловского центра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«ЭКОСПАС» – филиала АО «Центр аварийно-спасательных </w:t>
            </w:r>
            <w:r>
              <w:rPr>
                <w:sz w:val="24"/>
                <w:szCs w:val="24"/>
              </w:rPr>
              <w:t xml:space="preserve">и экологических операций»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251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центральной диспетчерской аварийной службы ООО «Новая городская инфраструктура Прикамья»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841" w:type="dxa"/>
            <w:textDirection w:val="lrTb"/>
            <w:noWrap w:val="false"/>
          </w:tcPr>
          <w:p>
            <w:pPr>
              <w:pStyle w:val="954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Фрезировщиков, 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11/4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водоснабжение, аварийные работы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«Новая городская инфраструктура Прикамья»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2"/>
            <w:shd w:val="clear" w:color="auto" w:fill="auto"/>
            <w:tcW w:w="4360" w:type="dxa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Итого за ТП РСЧС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151</w:t>
            </w:r>
            <w:bookmarkStart w:id="1" w:name="_GoBack"/>
            <w:r/>
            <w:bookmarkEnd w:id="1"/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</w:t>
            </w:r>
            <w:r>
              <w:rPr>
                <w:color w:val="000000"/>
                <w:sz w:val="24"/>
                <w:szCs w:val="24"/>
              </w:rPr>
              <w:t xml:space="preserve">/</w:t>
            </w: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8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rPr>
        <w:rStyle w:val="931"/>
      </w:rPr>
      <w:framePr w:wrap="around" w:vAnchor="text" w:hAnchor="margin" w:xAlign="center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>
      <w:rPr>
        <w:rStyle w:val="931"/>
      </w:rPr>
    </w:r>
  </w:p>
  <w:p>
    <w:pPr>
      <w:pStyle w:val="7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732"/>
    <w:next w:val="732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32"/>
    <w:next w:val="73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32"/>
    <w:next w:val="732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32"/>
    <w:next w:val="732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32"/>
    <w:next w:val="732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32"/>
    <w:next w:val="732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32"/>
    <w:next w:val="732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32"/>
    <w:next w:val="732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32"/>
    <w:next w:val="732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0">
    <w:name w:val="Header"/>
    <w:basedOn w:val="732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1">
    <w:name w:val="Footer"/>
    <w:basedOn w:val="732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2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3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1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2" w:default="1">
    <w:name w:val="Normal"/>
    <w:qFormat/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basedOn w:val="733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33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33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3"/>
    <w:uiPriority w:val="10"/>
    <w:rPr>
      <w:sz w:val="48"/>
      <w:szCs w:val="48"/>
    </w:rPr>
  </w:style>
  <w:style w:type="character" w:styleId="746" w:customStyle="1">
    <w:name w:val="Subtitle Char"/>
    <w:basedOn w:val="733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paragraph" w:styleId="751" w:customStyle="1">
    <w:name w:val="Заголовок 11"/>
    <w:basedOn w:val="732"/>
    <w:next w:val="732"/>
    <w:link w:val="760"/>
    <w:qFormat/>
    <w:pPr>
      <w:ind w:right="-1" w:firstLine="709"/>
      <w:jc w:val="both"/>
      <w:keepNext/>
      <w:outlineLvl w:val="0"/>
    </w:pPr>
    <w:rPr>
      <w:sz w:val="24"/>
    </w:rPr>
  </w:style>
  <w:style w:type="paragraph" w:styleId="752" w:customStyle="1">
    <w:name w:val="Заголовок 21"/>
    <w:basedOn w:val="732"/>
    <w:next w:val="732"/>
    <w:link w:val="761"/>
    <w:qFormat/>
    <w:pPr>
      <w:ind w:right="-1"/>
      <w:jc w:val="both"/>
      <w:keepNext/>
      <w:outlineLvl w:val="1"/>
    </w:pPr>
    <w:rPr>
      <w:sz w:val="24"/>
    </w:rPr>
  </w:style>
  <w:style w:type="paragraph" w:styleId="753" w:customStyle="1">
    <w:name w:val="Заголовок 31"/>
    <w:basedOn w:val="732"/>
    <w:next w:val="732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 w:customStyle="1">
    <w:name w:val="Заголовок 41"/>
    <w:basedOn w:val="732"/>
    <w:next w:val="732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 w:customStyle="1">
    <w:name w:val="Заголовок 51"/>
    <w:basedOn w:val="732"/>
    <w:next w:val="732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 w:customStyle="1">
    <w:name w:val="Заголовок 61"/>
    <w:basedOn w:val="732"/>
    <w:next w:val="7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 w:customStyle="1">
    <w:name w:val="Заголовок 71"/>
    <w:basedOn w:val="732"/>
    <w:next w:val="732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 w:customStyle="1">
    <w:name w:val="Заголовок 81"/>
    <w:basedOn w:val="732"/>
    <w:next w:val="732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 w:customStyle="1">
    <w:name w:val="Заголовок 91"/>
    <w:basedOn w:val="732"/>
    <w:next w:val="732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Заголовок 1 Знак"/>
    <w:link w:val="751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Заголовок 2 Знак"/>
    <w:link w:val="752"/>
    <w:uiPriority w:val="9"/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3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Заголовок 4 Знак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1">
    <w:name w:val="Title"/>
    <w:basedOn w:val="732"/>
    <w:next w:val="732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link w:val="771"/>
    <w:uiPriority w:val="10"/>
    <w:rPr>
      <w:sz w:val="48"/>
      <w:szCs w:val="48"/>
    </w:rPr>
  </w:style>
  <w:style w:type="paragraph" w:styleId="773">
    <w:name w:val="Subtitle"/>
    <w:basedOn w:val="732"/>
    <w:next w:val="732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32"/>
    <w:next w:val="732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32"/>
    <w:next w:val="732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 w:customStyle="1">
    <w:name w:val="Верхний колонтитул1"/>
    <w:basedOn w:val="732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80" w:customStyle="1">
    <w:name w:val="Header Char"/>
    <w:uiPriority w:val="99"/>
  </w:style>
  <w:style w:type="paragraph" w:styleId="781" w:customStyle="1">
    <w:name w:val="Нижний колонтитул1"/>
    <w:basedOn w:val="732"/>
    <w:link w:val="1010"/>
    <w:uiPriority w:val="99"/>
    <w:pPr>
      <w:tabs>
        <w:tab w:val="center" w:pos="4153" w:leader="none"/>
        <w:tab w:val="right" w:pos="8306" w:leader="none"/>
      </w:tabs>
    </w:pPr>
  </w:style>
  <w:style w:type="character" w:styleId="782" w:customStyle="1">
    <w:name w:val="Footer Char"/>
    <w:uiPriority w:val="99"/>
  </w:style>
  <w:style w:type="paragraph" w:styleId="783" w:customStyle="1">
    <w:name w:val="Название объекта1"/>
    <w:basedOn w:val="732"/>
    <w:next w:val="732"/>
    <w:link w:val="78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4" w:customStyle="1">
    <w:name w:val="Caption Char"/>
    <w:link w:val="783"/>
    <w:uiPriority w:val="99"/>
  </w:style>
  <w:style w:type="table" w:styleId="785">
    <w:name w:val="Table Grid"/>
    <w:basedOn w:val="734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1">
    <w:name w:val="Hyperlink"/>
    <w:uiPriority w:val="99"/>
    <w:unhideWhenUsed/>
    <w:rPr>
      <w:color w:val="0000ff"/>
      <w:u w:val="single"/>
    </w:rPr>
  </w:style>
  <w:style w:type="paragraph" w:styleId="912">
    <w:name w:val="footnote text"/>
    <w:basedOn w:val="732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732"/>
    <w:link w:val="916"/>
    <w:uiPriority w:val="99"/>
    <w:semiHidden/>
    <w:unhideWhenUsed/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732"/>
    <w:next w:val="732"/>
    <w:uiPriority w:val="39"/>
    <w:unhideWhenUsed/>
    <w:pPr>
      <w:spacing w:after="57"/>
    </w:pPr>
  </w:style>
  <w:style w:type="paragraph" w:styleId="919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20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21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22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23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24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25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26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  <w:rPr>
      <w:lang w:eastAsia="zh-CN"/>
    </w:rPr>
  </w:style>
  <w:style w:type="paragraph" w:styleId="928">
    <w:name w:val="table of figures"/>
    <w:basedOn w:val="732"/>
    <w:next w:val="732"/>
    <w:uiPriority w:val="99"/>
    <w:unhideWhenUsed/>
  </w:style>
  <w:style w:type="paragraph" w:styleId="929">
    <w:name w:val="Body Text"/>
    <w:basedOn w:val="732"/>
    <w:link w:val="953"/>
    <w:pPr>
      <w:ind w:right="3117"/>
    </w:pPr>
    <w:rPr>
      <w:rFonts w:ascii="Courier New" w:hAnsi="Courier New"/>
      <w:sz w:val="26"/>
    </w:rPr>
  </w:style>
  <w:style w:type="paragraph" w:styleId="930">
    <w:name w:val="Body Text Indent"/>
    <w:basedOn w:val="732"/>
    <w:pPr>
      <w:ind w:right="-1"/>
      <w:jc w:val="both"/>
    </w:pPr>
    <w:rPr>
      <w:sz w:val="26"/>
    </w:rPr>
  </w:style>
  <w:style w:type="character" w:styleId="931">
    <w:name w:val="page number"/>
    <w:basedOn w:val="733"/>
  </w:style>
  <w:style w:type="paragraph" w:styleId="932">
    <w:name w:val="Balloon Text"/>
    <w:basedOn w:val="732"/>
    <w:link w:val="933"/>
    <w:uiPriority w:val="99"/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779"/>
    <w:uiPriority w:val="99"/>
  </w:style>
  <w:style w:type="numbering" w:styleId="935" w:customStyle="1">
    <w:name w:val="Нет списка1"/>
    <w:next w:val="735"/>
    <w:uiPriority w:val="99"/>
    <w:semiHidden/>
    <w:unhideWhenUsed/>
  </w:style>
  <w:style w:type="character" w:styleId="936">
    <w:name w:val="FollowedHyperlink"/>
    <w:uiPriority w:val="99"/>
    <w:unhideWhenUsed/>
    <w:rPr>
      <w:color w:val="800080"/>
      <w:u w:val="single"/>
    </w:rPr>
  </w:style>
  <w:style w:type="paragraph" w:styleId="937" w:customStyle="1">
    <w:name w:val="xl65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66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67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68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1" w:customStyle="1">
    <w:name w:val="xl69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0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 w:customStyle="1">
    <w:name w:val="xl71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2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3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4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5"/>
    <w:basedOn w:val="73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6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7"/>
    <w:basedOn w:val="73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8"/>
    <w:basedOn w:val="7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9"/>
    <w:basedOn w:val="7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Форма"/>
    <w:rPr>
      <w:sz w:val="28"/>
      <w:szCs w:val="28"/>
    </w:rPr>
  </w:style>
  <w:style w:type="character" w:styleId="953" w:customStyle="1">
    <w:name w:val="Основной текст Знак"/>
    <w:link w:val="929"/>
    <w:rPr>
      <w:rFonts w:ascii="Courier New" w:hAnsi="Courier New"/>
      <w:sz w:val="26"/>
    </w:rPr>
  </w:style>
  <w:style w:type="paragraph" w:styleId="954" w:customStyle="1">
    <w:name w:val="ConsPlusNormal"/>
    <w:rPr>
      <w:sz w:val="28"/>
      <w:szCs w:val="28"/>
    </w:rPr>
  </w:style>
  <w:style w:type="numbering" w:styleId="955" w:customStyle="1">
    <w:name w:val="Нет списка11"/>
    <w:next w:val="735"/>
    <w:uiPriority w:val="99"/>
    <w:semiHidden/>
    <w:unhideWhenUsed/>
  </w:style>
  <w:style w:type="numbering" w:styleId="956" w:customStyle="1">
    <w:name w:val="Нет списка111"/>
    <w:next w:val="735"/>
    <w:uiPriority w:val="99"/>
    <w:semiHidden/>
    <w:unhideWhenUsed/>
  </w:style>
  <w:style w:type="paragraph" w:styleId="957" w:customStyle="1">
    <w:name w:val="font5"/>
    <w:basedOn w:val="73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8" w:customStyle="1">
    <w:name w:val="xl80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9" w:customStyle="1">
    <w:name w:val="xl81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0" w:customStyle="1">
    <w:name w:val="xl82"/>
    <w:basedOn w:val="73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1" w:customStyle="1">
    <w:name w:val="xl83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4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85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86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7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88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89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0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1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2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93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4"/>
    <w:basedOn w:val="73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5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6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7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8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7" w:customStyle="1">
    <w:name w:val="xl99"/>
    <w:basedOn w:val="73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100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1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2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3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4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5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6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7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8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9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0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1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2"/>
    <w:basedOn w:val="73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1" w:customStyle="1">
    <w:name w:val="xl113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4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5"/>
    <w:basedOn w:val="73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4" w:customStyle="1">
    <w:name w:val="xl116"/>
    <w:basedOn w:val="73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7"/>
    <w:basedOn w:val="73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8"/>
    <w:basedOn w:val="73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9"/>
    <w:basedOn w:val="73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0"/>
    <w:basedOn w:val="73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1"/>
    <w:basedOn w:val="7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2"/>
    <w:basedOn w:val="73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23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4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5"/>
    <w:basedOn w:val="73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4" w:customStyle="1">
    <w:name w:val="Нет списка2"/>
    <w:next w:val="735"/>
    <w:uiPriority w:val="99"/>
    <w:semiHidden/>
    <w:unhideWhenUsed/>
  </w:style>
  <w:style w:type="numbering" w:styleId="1005" w:customStyle="1">
    <w:name w:val="Нет списка3"/>
    <w:next w:val="735"/>
    <w:uiPriority w:val="99"/>
    <w:semiHidden/>
    <w:unhideWhenUsed/>
  </w:style>
  <w:style w:type="paragraph" w:styleId="1006" w:customStyle="1">
    <w:name w:val="font6"/>
    <w:basedOn w:val="7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7" w:customStyle="1">
    <w:name w:val="font7"/>
    <w:basedOn w:val="73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8" w:customStyle="1">
    <w:name w:val="font8"/>
    <w:basedOn w:val="73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9" w:customStyle="1">
    <w:name w:val="Нет списка4"/>
    <w:next w:val="735"/>
    <w:uiPriority w:val="99"/>
    <w:semiHidden/>
    <w:unhideWhenUsed/>
  </w:style>
  <w:style w:type="character" w:styleId="1010" w:customStyle="1">
    <w:name w:val="Нижний колонтитул Знак"/>
    <w:link w:val="781"/>
    <w:uiPriority w:val="99"/>
  </w:style>
  <w:style w:type="paragraph" w:styleId="1011" w:customStyle="1">
    <w:name w:val="Body text (3)"/>
    <w:pPr>
      <w:jc w:val="center"/>
      <w:spacing w:after="60" w:line="31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b/>
      <w:bCs/>
      <w:sz w:val="28"/>
      <w:szCs w:val="28"/>
      <w:lang w:eastAsia="en-US"/>
    </w:rPr>
  </w:style>
  <w:style w:type="paragraph" w:styleId="1012" w:customStyle="1">
    <w:name w:val="Body text (2)"/>
    <w:pPr>
      <w:jc w:val="center"/>
      <w:spacing w:before="60" w:after="1240" w:line="31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8"/>
      <w:szCs w:val="28"/>
      <w:lang w:eastAsia="en-US"/>
    </w:rPr>
  </w:style>
  <w:style w:type="paragraph" w:styleId="1013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00593&amp;date=17.11.2022" TargetMode="External"/><Relationship Id="rId13" Type="http://schemas.openxmlformats.org/officeDocument/2006/relationships/hyperlink" Target="https://login.consultant.ru/link/?req=doc&amp;base=RLAW368&amp;n=136256&amp;date=17.11.2022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12</cp:revision>
  <dcterms:created xsi:type="dcterms:W3CDTF">2025-05-28T06:07:00Z</dcterms:created>
  <dcterms:modified xsi:type="dcterms:W3CDTF">2025-06-02T10:52:25Z</dcterms:modified>
  <cp:version>983040</cp:version>
</cp:coreProperties>
</file>