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-461644</wp:posOffset>
                </wp:positionV>
                <wp:extent cx="6285865" cy="165862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58620"/>
                          <a:chOff x="0" y="0"/>
                          <a:chExt cx="62858" cy="1658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6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495300"/>
                                        <wp:effectExtent l="0" t="0" r="0" b="0"/>
                                        <wp:docPr id="2" name="Рисунок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0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7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917" y="12642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8736" y="12674"/>
                            <a:ext cx="10858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5.85pt;mso-position-horizontal:absolute;mso-position-vertical-relative:text;margin-top:-36.35pt;mso-position-vertical:absolute;width:494.95pt;height:130.60pt;mso-wrap-distance-left:9.00pt;mso-wrap-distance-top:0.00pt;mso-wrap-distance-right:9.00pt;mso-wrap-distance-bottom:0.00pt;" coordorigin="0,0" coordsize="628,165">
                <v:shape id="shape 2" o:spid="_x0000_s2" o:spt="202" type="#_x0000_t202" style="position:absolute;left:0;top:0;width:628;height:165;visibility:visible;" fillcolor="#FFFFFF" stroked="f">
                  <v:textbox inset="0,0,0,0">
                    <w:txbxContent>
                      <w:p>
                        <w:pPr>
                          <w:jc w:val="center"/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495300"/>
                                  <wp:effectExtent l="0" t="0" r="0" b="0"/>
                                  <wp:docPr id="2" name="Рисунок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0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7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9;top:126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87;top:126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О внесении изменений в Порядок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на предоставление бесплатного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питания отдельным категориям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  <w:t xml:space="preserve">учащихся, утвержденный </w:t>
      </w:r>
      <w:r>
        <w:rPr>
          <w:b/>
        </w:rPr>
        <w:br w:type="textWrapping" w:clear="all"/>
      </w:r>
      <w:r>
        <w:rPr>
          <w:b/>
        </w:rPr>
        <w:t xml:space="preserve">постановлением администрации </w:t>
      </w:r>
      <w:r>
        <w:rPr>
          <w:b/>
        </w:rPr>
        <w:br w:type="textWrapping" w:clear="all"/>
      </w:r>
      <w:r>
        <w:rPr>
          <w:b/>
        </w:rPr>
        <w:t xml:space="preserve">города Перми от 14.10.2020 № 975 </w:t>
      </w:r>
      <w:r>
        <w:rPr>
          <w:b/>
        </w:rPr>
      </w:r>
      <w:r>
        <w:rPr>
          <w:b/>
        </w:rPr>
      </w:r>
    </w:p>
    <w:p>
      <w:pPr>
        <w:pStyle w:val="92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ascii="Arial" w:hAnsi="Arial" w:cs="Arial"/>
        </w:rPr>
      </w:pPr>
      <w:r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</w:t>
      </w:r>
      <w:r>
        <w:rPr>
          <w:sz w:val="28"/>
        </w:rPr>
        <w:t xml:space="preserve">ерации </w:t>
      </w:r>
      <w:r>
        <w:rPr>
          <w:sz w:val="28"/>
        </w:rPr>
        <w:br w:type="textWrapping" w:clear="all"/>
      </w:r>
      <w:r>
        <w:rPr>
          <w:sz w:val="28"/>
        </w:rPr>
        <w:t xml:space="preserve">от 22 февраля 2</w:t>
      </w:r>
      <w:r>
        <w:rPr>
          <w:sz w:val="28"/>
        </w:rPr>
        <w:t xml:space="preserve">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</w:t>
      </w:r>
      <w:r>
        <w:rPr>
          <w:sz w:val="28"/>
        </w:rPr>
        <w:br w:type="textWrapping" w:clear="all"/>
      </w:r>
      <w:r>
        <w:rPr>
          <w:sz w:val="28"/>
        </w:rPr>
        <w:t xml:space="preserve">от 27 ноября 2007 г. № 280 «О 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организациях», в целях актуализации нормативной правовой базы админист</w:t>
      </w:r>
      <w:r>
        <w:rPr>
          <w:sz w:val="28"/>
        </w:rPr>
        <w:t xml:space="preserve">рации города Перми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 </w:t>
      </w:r>
      <w:r>
        <w:rPr>
          <w:sz w:val="28"/>
        </w:rPr>
        <w:br w:type="textWrapping" w:clear="all"/>
      </w:r>
      <w:r>
        <w:rPr>
          <w:sz w:val="28"/>
        </w:rPr>
        <w:t xml:space="preserve">на предоставление бесплатного питания отдельным категориям учащихся, утвер</w:t>
      </w:r>
      <w:r>
        <w:rPr>
          <w:sz w:val="28"/>
        </w:rPr>
        <w:t xml:space="preserve">жденный постановлением администрации города Перми от 14 октября </w:t>
      </w:r>
      <w:r>
        <w:rPr>
          <w:sz w:val="28"/>
        </w:rPr>
        <w:br w:type="textWrapping" w:clear="all"/>
      </w:r>
      <w:r>
        <w:rPr>
          <w:sz w:val="28"/>
        </w:rPr>
        <w:t xml:space="preserve">2020 г. № 975 (в ред. от 10.03.2021 № 144, от 28.04.2021 № 314, от 04.10.2021 </w:t>
      </w:r>
      <w:r>
        <w:rPr>
          <w:sz w:val="28"/>
        </w:rPr>
        <w:br w:type="textWrapping" w:clear="all"/>
      </w:r>
      <w:r>
        <w:rPr>
          <w:sz w:val="28"/>
        </w:rPr>
        <w:t xml:space="preserve">№ 799, от 16.12.2021 № 1155, от 22.12.2021 № 1179, от 28.12.2021 № 1250, </w:t>
      </w:r>
      <w:r>
        <w:rPr>
          <w:sz w:val="28"/>
        </w:rPr>
        <w:br w:type="textWrapping" w:clear="all"/>
      </w:r>
      <w:r>
        <w:rPr>
          <w:sz w:val="28"/>
        </w:rPr>
        <w:t xml:space="preserve">от 25.01.2022 № 37, от 23.06.2022 № 51</w:t>
      </w:r>
      <w:r>
        <w:rPr>
          <w:sz w:val="28"/>
        </w:rPr>
        <w:t xml:space="preserve">3, от 23.06.2022 № 520,</w:t>
      </w:r>
      <w:r>
        <w:t xml:space="preserve"> </w:t>
      </w:r>
      <w:r>
        <w:rPr>
          <w:sz w:val="28"/>
        </w:rPr>
        <w:t xml:space="preserve">от 05.09.2022 </w:t>
      </w:r>
      <w:r>
        <w:rPr>
          <w:sz w:val="28"/>
        </w:rPr>
        <w:br w:type="textWrapping" w:clear="all"/>
      </w:r>
      <w:r>
        <w:rPr>
          <w:sz w:val="28"/>
        </w:rPr>
        <w:t xml:space="preserve">№ 743, от 17.10.2022 № 952, от 11.11.2022 № 1149, от 01.12.2022 № 1223, </w:t>
      </w:r>
      <w:r>
        <w:rPr>
          <w:sz w:val="28"/>
        </w:rPr>
        <w:br w:type="textWrapping" w:clear="all"/>
      </w:r>
      <w:r>
        <w:rPr>
          <w:sz w:val="28"/>
        </w:rPr>
        <w:t xml:space="preserve">от 21.12.2022 № 1331, от 27.12.2022 № 1384, от 04.08.2023 № 667, от 13.10.2023 </w:t>
      </w:r>
      <w:r>
        <w:rPr>
          <w:sz w:val="28"/>
        </w:rPr>
        <w:br w:type="textWrapping" w:clear="all"/>
      </w:r>
      <w:r>
        <w:rPr>
          <w:sz w:val="28"/>
        </w:rPr>
        <w:t xml:space="preserve">№ 1033, от 21.11.2023 № 1274, от 20.08.2024 № 670, от 17.10.2024</w:t>
      </w:r>
      <w:r>
        <w:rPr>
          <w:sz w:val="28"/>
        </w:rPr>
        <w:t xml:space="preserve"> № 943, </w:t>
      </w:r>
      <w:r>
        <w:rPr>
          <w:sz w:val="28"/>
        </w:rPr>
        <w:br w:type="textWrapping" w:clear="all"/>
      </w:r>
      <w:r>
        <w:rPr>
          <w:sz w:val="28"/>
        </w:rPr>
        <w:t xml:space="preserve">от 11.12.2024 № 1208),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абзац первый пункта 2.2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</w:t>
      </w:r>
      <w:r>
        <w:rPr>
          <w:sz w:val="28"/>
        </w:rPr>
        <w:t xml:space="preserve">жны соответствовать следующим требованиям:»;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пункт 2.3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«2.3. </w:t>
      </w:r>
      <w:r>
        <w:rPr>
          <w:bCs/>
          <w:sz w:val="28"/>
        </w:rPr>
        <w:t xml:space="preserve">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</w:t>
      </w:r>
      <w:r>
        <w:rPr>
          <w:bCs/>
          <w:sz w:val="28"/>
        </w:rPr>
        <w:t xml:space="preserve">ципальных служащих Департамента </w:t>
      </w:r>
      <w:r>
        <w:rPr>
          <w:bCs/>
          <w:sz w:val="28"/>
        </w:rPr>
        <w:br/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Рассмотрени</w:t>
      </w:r>
      <w:r>
        <w:rPr>
          <w:bCs/>
          <w:sz w:val="28"/>
        </w:rPr>
        <w:t xml:space="preserve">е и оценка документов на полноту их представления </w:t>
      </w:r>
      <w:r>
        <w:rPr>
          <w:bCs/>
          <w:sz w:val="28"/>
        </w:rPr>
        <w:br w:type="textWrapping" w:clear="all"/>
      </w:r>
      <w:r>
        <w:rPr>
          <w:bCs/>
          <w:sz w:val="28"/>
        </w:rPr>
        <w:t xml:space="preserve">в соответствии с пунктом 2.1 настоящего Порядка осуществляются Комиссией </w:t>
      </w:r>
      <w:r>
        <w:rPr>
          <w:bCs/>
          <w:sz w:val="28"/>
        </w:rPr>
        <w:br w:type="textWrapping" w:clear="all"/>
      </w:r>
      <w:r>
        <w:rPr>
          <w:bCs/>
          <w:sz w:val="28"/>
        </w:rPr>
        <w:t xml:space="preserve">в течение 20 рабочих дней с даты их представления.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Комиссия со дня рассмотрения документов, указанных в пункте 2.1 настоящего Поряд</w:t>
      </w:r>
      <w:r>
        <w:rPr>
          <w:sz w:val="28"/>
        </w:rPr>
        <w:t xml:space="preserve">ка, принимает решение о предоставлении субсидий </w:t>
      </w:r>
      <w:r>
        <w:rPr>
          <w:sz w:val="28"/>
        </w:rPr>
        <w:br w:type="textWrapping" w:clear="all"/>
      </w:r>
      <w:r>
        <w:rPr>
          <w:sz w:val="28"/>
        </w:rPr>
        <w:t xml:space="preserve">или об отказе в предоставлении субсидий либо необходимости представления Учреждением недостающих документов.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Комиссия после принятия решения о предоставлении субсидии: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определяет размер субсидии для Учрежден</w:t>
      </w:r>
      <w:r>
        <w:rPr>
          <w:sz w:val="28"/>
        </w:rPr>
        <w:t xml:space="preserve">ий в соответствии </w:t>
      </w:r>
      <w:r>
        <w:rPr>
          <w:sz w:val="28"/>
        </w:rPr>
        <w:br w:type="textWrapping" w:clear="all"/>
      </w:r>
      <w:r>
        <w:rPr>
          <w:sz w:val="28"/>
        </w:rPr>
        <w:t xml:space="preserve">с представленными документами;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оформляет протокол, который подписывается всеми членами Комиссии </w:t>
      </w:r>
      <w:r>
        <w:rPr>
          <w:sz w:val="28"/>
        </w:rPr>
        <w:br w:type="textWrapping" w:clear="all"/>
      </w:r>
      <w:r>
        <w:rPr>
          <w:sz w:val="28"/>
        </w:rPr>
        <w:t xml:space="preserve">в день принятия решения (далее – протокол);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Департамент в течение 10 рабочих дней со дня подписания протокола обеспечивает подготовку и подп</w:t>
      </w:r>
      <w:r>
        <w:rPr>
          <w:sz w:val="28"/>
        </w:rPr>
        <w:t xml:space="preserve">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пункт 2.5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«2.5. Размер субсидий на иные цели определяется исходя из размера стоимости предоставления бесплатного питания, установленной Решением № 280, прогнозной среднегодовой численности отдельных категорий учащихся </w:t>
      </w:r>
      <w:r>
        <w:rPr>
          <w:sz w:val="28"/>
        </w:rPr>
        <w:br w:type="textWrapping" w:clear="all"/>
      </w:r>
      <w:r>
        <w:rPr>
          <w:sz w:val="28"/>
        </w:rPr>
        <w:t xml:space="preserve">и среднегодового количества дней предоставления</w:t>
      </w:r>
      <w:r>
        <w:rPr>
          <w:sz w:val="28"/>
        </w:rPr>
        <w:t xml:space="preserve"> бесплатного питания одному учащемуся.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в абзаце</w:t>
      </w:r>
      <w:r>
        <w:rPr>
          <w:sz w:val="28"/>
        </w:rPr>
        <w:t xml:space="preserve"> четвертом пункта 2.6 после слов «постановлением администрации города Перми от 14 июня 2018 г. № 391» дополнить словами «(далее – Постановление № 391)»;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1.5. пункт 2.7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«2.7. </w:t>
      </w:r>
      <w:r>
        <w:rPr>
          <w:bCs/>
          <w:sz w:val="28"/>
        </w:rPr>
        <w:t xml:space="preserve">В случае изменения численности обучающихся, получаю</w:t>
      </w:r>
      <w:r>
        <w:rPr>
          <w:bCs/>
          <w:sz w:val="28"/>
        </w:rPr>
        <w:t xml:space="preserve">щих бесплатное питание, Учреждения представляют документы в соответствии </w:t>
      </w:r>
      <w:r>
        <w:rPr>
          <w:bCs/>
          <w:sz w:val="28"/>
        </w:rPr>
        <w:br w:type="textWrapping" w:clear="all"/>
      </w:r>
      <w:r>
        <w:rPr>
          <w:bCs/>
          <w:sz w:val="28"/>
        </w:rPr>
        <w:t xml:space="preserve">с пунктом 2.1 настоящего Порядка ежеквартально до 30 числа месяца, следующего за кварталом, за исключением </w:t>
      </w:r>
      <w:r>
        <w:rPr>
          <w:bCs/>
          <w:sz w:val="28"/>
          <w:lang w:val="en-US"/>
        </w:rPr>
        <w:t xml:space="preserve">IV</w:t>
      </w:r>
      <w:r>
        <w:rPr>
          <w:bCs/>
          <w:sz w:val="28"/>
        </w:rPr>
        <w:t xml:space="preserve"> квартала. 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  <w:szCs w:val="40"/>
        </w:rPr>
        <w:t xml:space="preserve">В случае изменения стоимости </w:t>
      </w:r>
      <w:r>
        <w:rPr>
          <w:bCs/>
          <w:sz w:val="28"/>
        </w:rPr>
        <w:t xml:space="preserve">питания в день на одного обучающ</w:t>
      </w:r>
      <w:r>
        <w:rPr>
          <w:bCs/>
          <w:sz w:val="28"/>
        </w:rPr>
        <w:t xml:space="preserve">егося </w:t>
      </w:r>
      <w:r>
        <w:rPr>
          <w:bCs/>
          <w:sz w:val="28"/>
        </w:rPr>
        <w:br/>
        <w:t xml:space="preserve">или среднегодового количества дней питания, установленных Постановлением </w:t>
      </w:r>
      <w:r>
        <w:rPr>
          <w:bCs/>
          <w:sz w:val="28"/>
        </w:rPr>
        <w:br/>
        <w:t xml:space="preserve">№ 391, </w:t>
      </w:r>
      <w:r>
        <w:rPr>
          <w:bCs/>
          <w:sz w:val="28"/>
          <w:szCs w:val="40"/>
        </w:rPr>
        <w:t xml:space="preserve">без изменения </w:t>
      </w:r>
      <w:r>
        <w:rPr>
          <w:bCs/>
          <w:sz w:val="28"/>
        </w:rPr>
        <w:t xml:space="preserve">численности обучающихся, получающих бесплатное питание</w:t>
      </w:r>
      <w:r>
        <w:rPr>
          <w:bCs/>
          <w:sz w:val="28"/>
          <w:szCs w:val="40"/>
        </w:rPr>
        <w:t xml:space="preserve">, решение </w:t>
      </w:r>
      <w:r>
        <w:rPr>
          <w:bCs/>
          <w:sz w:val="28"/>
          <w:szCs w:val="28"/>
        </w:rPr>
        <w:t xml:space="preserve">о предоставлении субсидии оформляется внесением изменений </w:t>
      </w:r>
      <w:r>
        <w:rPr>
          <w:sz w:val="28"/>
        </w:rPr>
        <w:t xml:space="preserve">в Приказ об утверждении размера субсидии</w:t>
      </w:r>
      <w:r>
        <w:rPr>
          <w:bCs/>
          <w:sz w:val="28"/>
          <w:szCs w:val="28"/>
        </w:rPr>
        <w:t xml:space="preserve"> без предоставления Учреждениями </w:t>
      </w:r>
      <w:r>
        <w:rPr>
          <w:bCs/>
          <w:sz w:val="28"/>
          <w:szCs w:val="28"/>
        </w:rPr>
        <w:t xml:space="preserve">документов, указанных в пункте 2.1 настоящего Порядка, и проведения заседания Комиссии.</w:t>
      </w:r>
      <w:r>
        <w:rPr>
          <w:bCs/>
          <w:sz w:val="28"/>
        </w:rPr>
        <w:t xml:space="preserve">»;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1.6. пункт 2.8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«2.8. </w:t>
      </w:r>
      <w:r>
        <w:rPr>
          <w:bCs/>
          <w:sz w:val="28"/>
        </w:rPr>
        <w:t xml:space="preserve">Субсидии на иные цели предоставляются в с</w:t>
      </w:r>
      <w:r>
        <w:rPr>
          <w:bCs/>
          <w:sz w:val="28"/>
        </w:rPr>
        <w:t xml:space="preserve">оответствии </w:t>
      </w:r>
      <w:r>
        <w:rPr>
          <w:bCs/>
          <w:sz w:val="28"/>
        </w:rPr>
        <w:br w:type="textWrapping" w:clear="all"/>
      </w:r>
      <w:r>
        <w:rPr>
          <w:bCs/>
          <w:sz w:val="28"/>
        </w:rPr>
        <w:t xml:space="preserve">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</w:t>
      </w:r>
      <w:r>
        <w:rPr>
          <w:bCs/>
          <w:sz w:val="28"/>
        </w:rPr>
        <w:t xml:space="preserve"> – типовая форма), не позднее 10 рабочих дней со дня вступления в силу Приказа </w:t>
      </w:r>
      <w:r>
        <w:rPr>
          <w:sz w:val="28"/>
        </w:rPr>
        <w:t xml:space="preserve">об утверждении размера субсидии</w:t>
      </w:r>
      <w:r>
        <w:rPr>
          <w:bCs/>
          <w:sz w:val="28"/>
        </w:rPr>
        <w:t xml:space="preserve">.»;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1.7. пункт 2.10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«2.10. </w:t>
      </w:r>
      <w:r>
        <w:rPr>
          <w:bCs/>
          <w:sz w:val="28"/>
        </w:rPr>
        <w:t xml:space="preserve">При внесении изменений в настоящий Порядок, муниципальную программу «Доступное и качеств</w:t>
      </w:r>
      <w:r>
        <w:rPr>
          <w:bCs/>
          <w:sz w:val="28"/>
        </w:rPr>
        <w:t xml:space="preserve">енное образование», сводную бюджетную роспись, Приказ </w:t>
      </w:r>
      <w:r>
        <w:rPr>
          <w:sz w:val="28"/>
        </w:rPr>
        <w:t xml:space="preserve">об утверждении размера субсидии</w:t>
      </w:r>
      <w:r>
        <w:rPr>
          <w:bCs/>
          <w:sz w:val="28"/>
        </w:rPr>
        <w:t xml:space="preserve">, требующих внесения изменений в Соглашение, дополнительные соглашения заключаются в течение </w:t>
      </w:r>
      <w:r>
        <w:rPr>
          <w:bCs/>
          <w:sz w:val="28"/>
        </w:rPr>
        <w:br/>
        <w:t xml:space="preserve">10 рабочих дней со дня вступления в силу </w:t>
      </w:r>
      <w:bookmarkStart w:id="0" w:name="_GoBack"/>
      <w:r/>
      <w:bookmarkEnd w:id="0"/>
      <w:r>
        <w:rPr>
          <w:bCs/>
          <w:sz w:val="28"/>
        </w:rPr>
        <w:t xml:space="preserve">изменений в указанные правовые акты</w:t>
      </w:r>
      <w:r>
        <w:rPr>
          <w:bCs/>
          <w:sz w:val="28"/>
        </w:rPr>
        <w:t xml:space="preserve">. 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Дополнительные</w:t>
      </w:r>
      <w:r>
        <w:rPr>
          <w:bCs/>
          <w:sz w:val="28"/>
        </w:rPr>
        <w:t xml:space="preserve">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Изменения в Соглашения вносятся при соблюдении условий, указанных </w:t>
      </w:r>
      <w:r>
        <w:rPr>
          <w:bCs/>
          <w:sz w:val="28"/>
        </w:rPr>
        <w:br/>
        <w:t xml:space="preserve">в пункте 2.7 настоящего Порядка.»;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ра</w:t>
      </w:r>
      <w:r>
        <w:rPr>
          <w:bCs/>
          <w:sz w:val="28"/>
          <w:szCs w:val="28"/>
        </w:rPr>
        <w:t xml:space="preserve">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</w:t>
      </w:r>
      <w:r>
        <w:rPr>
          <w:sz w:val="28"/>
          <w:szCs w:val="28"/>
        </w:rPr>
        <w:t xml:space="preserve">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 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</w:t>
      </w:r>
      <w:r>
        <w:rPr>
          <w:sz w:val="28"/>
          <w:szCs w:val="28"/>
        </w:rPr>
        <w:t xml:space="preserve">отчетным,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</w:t>
      </w:r>
      <w:r>
        <w:rPr>
          <w:sz w:val="28"/>
          <w:szCs w:val="28"/>
        </w:rPr>
        <w:t xml:space="preserve">ме субсидий, юридическим лицам, в том числе бюджетным и 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 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достоверностью отчетных данных возлагается на руководителей Учреждений.».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Наст</w:t>
      </w:r>
      <w:r>
        <w:rPr>
          <w:sz w:val="28"/>
        </w:rPr>
        <w:t xml:space="preserve">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</w:t>
      </w:r>
      <w:r>
        <w:rPr>
          <w:sz w:val="28"/>
        </w:rPr>
        <w:t xml:space="preserve">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</w:t>
      </w:r>
      <w:r>
        <w:rPr>
          <w:sz w:val="28"/>
        </w:rPr>
        <w:t xml:space="preserve">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</w:t>
      </w:r>
      <w:r>
        <w:rPr>
          <w:sz w:val="28"/>
          <w:lang w:val="en-US"/>
        </w:rPr>
        <w:t xml:space="preserve">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</w:rPr>
        <w:br w:type="textWrapping" w:clear="all"/>
      </w:r>
      <w:r>
        <w:rPr>
          <w:bCs/>
          <w:sz w:val="28"/>
        </w:rPr>
        <w:t xml:space="preserve">на заместителя главы администрации города Перми Мальцеву Е.Д.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7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5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8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9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0" w:default="1">
    <w:name w:val="Normal"/>
    <w:qFormat/>
  </w:style>
  <w:style w:type="paragraph" w:styleId="721">
    <w:name w:val="Heading 1"/>
    <w:basedOn w:val="720"/>
    <w:next w:val="720"/>
    <w:link w:val="91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2">
    <w:name w:val="Heading 2"/>
    <w:basedOn w:val="720"/>
    <w:next w:val="720"/>
    <w:link w:val="91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3">
    <w:name w:val="Heading 3"/>
    <w:basedOn w:val="720"/>
    <w:next w:val="720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uiPriority w:val="10"/>
    <w:rPr>
      <w:sz w:val="48"/>
      <w:szCs w:val="48"/>
    </w:rPr>
  </w:style>
  <w:style w:type="character" w:styleId="741" w:customStyle="1">
    <w:name w:val="Subtitle Char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Caption Char"/>
    <w:uiPriority w:val="99"/>
  </w:style>
  <w:style w:type="character" w:styleId="745" w:customStyle="1">
    <w:name w:val="Footnote Text Char"/>
    <w:uiPriority w:val="99"/>
    <w:rPr>
      <w:sz w:val="18"/>
    </w:rPr>
  </w:style>
  <w:style w:type="character" w:styleId="746" w:customStyle="1">
    <w:name w:val="Endnote Text Char"/>
    <w:uiPriority w:val="99"/>
    <w:rPr>
      <w:sz w:val="20"/>
    </w:rPr>
  </w:style>
  <w:style w:type="character" w:styleId="74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Heading 2 Char"/>
    <w:uiPriority w:val="9"/>
    <w:rPr>
      <w:rFonts w:ascii="Arial" w:hAnsi="Arial" w:eastAsia="Arial" w:cs="Arial"/>
      <w:sz w:val="34"/>
    </w:rPr>
  </w:style>
  <w:style w:type="character" w:styleId="749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20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rPr>
      <w:lang w:eastAsia="zh-CN"/>
    </w:rPr>
  </w:style>
  <w:style w:type="paragraph" w:styleId="758">
    <w:name w:val="Title"/>
    <w:basedOn w:val="720"/>
    <w:next w:val="720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link w:val="758"/>
    <w:uiPriority w:val="10"/>
    <w:rPr>
      <w:sz w:val="48"/>
      <w:szCs w:val="48"/>
    </w:rPr>
  </w:style>
  <w:style w:type="paragraph" w:styleId="760">
    <w:name w:val="Subtitle"/>
    <w:basedOn w:val="720"/>
    <w:next w:val="720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link w:val="760"/>
    <w:uiPriority w:val="11"/>
    <w:rPr>
      <w:sz w:val="24"/>
      <w:szCs w:val="24"/>
    </w:rPr>
  </w:style>
  <w:style w:type="paragraph" w:styleId="762">
    <w:name w:val="Quote"/>
    <w:basedOn w:val="720"/>
    <w:next w:val="720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20"/>
    <w:next w:val="720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>
    <w:name w:val="Header"/>
    <w:basedOn w:val="720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767" w:customStyle="1">
    <w:name w:val="Header Char"/>
    <w:uiPriority w:val="99"/>
  </w:style>
  <w:style w:type="paragraph" w:styleId="768">
    <w:name w:val="Footer"/>
    <w:basedOn w:val="720"/>
    <w:link w:val="922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Footer Char"/>
    <w:uiPriority w:val="99"/>
  </w:style>
  <w:style w:type="paragraph" w:styleId="770">
    <w:name w:val="Caption"/>
    <w:basedOn w:val="720"/>
    <w:next w:val="720"/>
    <w:link w:val="77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1" w:customStyle="1">
    <w:name w:val="Название объекта Знак"/>
    <w:link w:val="770"/>
    <w:uiPriority w:val="35"/>
    <w:rPr>
      <w:b/>
      <w:bCs/>
      <w:color w:val="4f81bd"/>
      <w:sz w:val="18"/>
      <w:szCs w:val="18"/>
    </w:rPr>
  </w:style>
  <w:style w:type="table" w:styleId="772">
    <w:name w:val="Table Grid"/>
    <w:basedOn w:val="73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8">
    <w:name w:val="Hyperlink"/>
    <w:uiPriority w:val="99"/>
    <w:unhideWhenUsed/>
    <w:rPr>
      <w:color w:val="0000ff"/>
      <w:u w:val="single"/>
    </w:rPr>
  </w:style>
  <w:style w:type="paragraph" w:styleId="899">
    <w:name w:val="footnote text"/>
    <w:basedOn w:val="720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720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720"/>
    <w:next w:val="720"/>
    <w:uiPriority w:val="39"/>
    <w:unhideWhenUsed/>
    <w:pPr>
      <w:spacing w:after="57"/>
    </w:pPr>
  </w:style>
  <w:style w:type="paragraph" w:styleId="906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7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08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9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10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11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12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13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  <w:rPr>
      <w:lang w:eastAsia="zh-CN"/>
    </w:rPr>
  </w:style>
  <w:style w:type="paragraph" w:styleId="915">
    <w:name w:val="table of figures"/>
    <w:basedOn w:val="720"/>
    <w:next w:val="720"/>
    <w:uiPriority w:val="99"/>
    <w:unhideWhenUsed/>
  </w:style>
  <w:style w:type="character" w:styleId="916" w:customStyle="1">
    <w:name w:val="Заголовок 1 Знак"/>
    <w:link w:val="721"/>
    <w:rPr>
      <w:sz w:val="24"/>
    </w:rPr>
  </w:style>
  <w:style w:type="character" w:styleId="917" w:customStyle="1">
    <w:name w:val="Заголовок 2 Знак"/>
    <w:link w:val="722"/>
    <w:rPr>
      <w:sz w:val="24"/>
    </w:rPr>
  </w:style>
  <w:style w:type="paragraph" w:styleId="918">
    <w:name w:val="Body Text"/>
    <w:basedOn w:val="720"/>
    <w:link w:val="919"/>
    <w:pPr>
      <w:ind w:right="3117"/>
    </w:pPr>
    <w:rPr>
      <w:rFonts w:ascii="Courier New" w:hAnsi="Courier New"/>
      <w:sz w:val="26"/>
      <w:lang w:val="en-US" w:eastAsia="en-US"/>
    </w:rPr>
  </w:style>
  <w:style w:type="character" w:styleId="919" w:customStyle="1">
    <w:name w:val="Основной текст Знак"/>
    <w:link w:val="918"/>
    <w:rPr>
      <w:rFonts w:ascii="Courier New" w:hAnsi="Courier New"/>
      <w:sz w:val="26"/>
    </w:rPr>
  </w:style>
  <w:style w:type="paragraph" w:styleId="920">
    <w:name w:val="Body Text Indent"/>
    <w:basedOn w:val="720"/>
    <w:link w:val="921"/>
    <w:pPr>
      <w:ind w:right="-1"/>
      <w:jc w:val="both"/>
    </w:pPr>
    <w:rPr>
      <w:sz w:val="26"/>
      <w:lang w:val="en-US" w:eastAsia="en-US"/>
    </w:rPr>
  </w:style>
  <w:style w:type="character" w:styleId="921" w:customStyle="1">
    <w:name w:val="Основной текст с отступом Знак"/>
    <w:link w:val="920"/>
    <w:rPr>
      <w:sz w:val="26"/>
    </w:rPr>
  </w:style>
  <w:style w:type="character" w:styleId="922" w:customStyle="1">
    <w:name w:val="Нижний колонтитул Знак"/>
    <w:basedOn w:val="730"/>
    <w:link w:val="768"/>
    <w:uiPriority w:val="99"/>
  </w:style>
  <w:style w:type="character" w:styleId="923">
    <w:name w:val="page number"/>
    <w:basedOn w:val="730"/>
  </w:style>
  <w:style w:type="character" w:styleId="924" w:customStyle="1">
    <w:name w:val="Верхний колонтитул Знак"/>
    <w:link w:val="766"/>
    <w:uiPriority w:val="99"/>
  </w:style>
  <w:style w:type="paragraph" w:styleId="925">
    <w:name w:val="Balloon Text"/>
    <w:basedOn w:val="720"/>
    <w:link w:val="926"/>
    <w:rPr>
      <w:rFonts w:ascii="Segoe UI" w:hAnsi="Segoe UI"/>
      <w:sz w:val="18"/>
      <w:szCs w:val="18"/>
      <w:lang w:val="en-US" w:eastAsia="en-US"/>
    </w:rPr>
  </w:style>
  <w:style w:type="character" w:styleId="926" w:customStyle="1">
    <w:name w:val="Текст выноски Знак"/>
    <w:link w:val="925"/>
    <w:rPr>
      <w:rFonts w:ascii="Segoe UI" w:hAnsi="Segoe UI" w:cs="Segoe UI"/>
      <w:sz w:val="18"/>
      <w:szCs w:val="18"/>
    </w:rPr>
  </w:style>
  <w:style w:type="paragraph" w:styleId="927" w:customStyle="1">
    <w:name w:val="Форма"/>
    <w:rPr>
      <w:sz w:val="28"/>
      <w:szCs w:val="28"/>
    </w:rPr>
  </w:style>
  <w:style w:type="paragraph" w:styleId="92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9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0" w:customStyle="1">
    <w:name w:val="Обычный (Интернет)"/>
    <w:basedOn w:val="720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2023-08-23T08:05:00Z</dcterms:created>
  <dcterms:modified xsi:type="dcterms:W3CDTF">2025-06-04T12:14:53Z</dcterms:modified>
  <cp:version>917504</cp:version>
</cp:coreProperties>
</file>