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в </w:t>
      </w:r>
      <w:r>
        <w:rPr>
          <w:b/>
          <w:sz w:val="28"/>
          <w:szCs w:val="28"/>
        </w:rPr>
        <w:t xml:space="preserve">отдельные </w:t>
      </w:r>
      <w:r>
        <w:rPr>
          <w:b/>
          <w:sz w:val="28"/>
          <w:szCs w:val="28"/>
        </w:rPr>
        <w:t xml:space="preserve">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в сфере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8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8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720"/>
        <w:jc w:val="both"/>
        <w:spacing w:line="240" w:lineRule="auto"/>
      </w:pPr>
      <w: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соответствии c Федеральным законом от 13 июля 2020 г. № 189-ФЗ </w:t>
        <w:br/>
        <w:t xml:space="preserve">«О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государственном (муниципальном) социальном заказе на оказание государственных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(муниципальных) услуг в социальной сфере», </w:t>
      </w:r>
      <w:r>
        <w:t xml:space="preserve">в целях актуализации правовых актов администрации города Перми </w:t>
      </w:r>
      <w:r/>
    </w:p>
    <w:p>
      <w:pPr>
        <w:pStyle w:val="924"/>
        <w:jc w:val="both"/>
        <w:spacing w:line="240" w:lineRule="auto"/>
        <w:rPr>
          <w:bCs/>
        </w:rPr>
      </w:pPr>
      <w:r>
        <w:t xml:space="preserve">администраци</w:t>
      </w:r>
      <w:r>
        <w:t xml:space="preserve">я</w:t>
      </w:r>
      <w:r>
        <w:t xml:space="preserve"> города Перми </w:t>
      </w:r>
      <w:r>
        <w:rPr>
          <w:color w:val="000000"/>
        </w:rPr>
        <w:t xml:space="preserve">ПОСТАНОВЛЯЕТ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924"/>
        <w:ind w:firstLine="720"/>
        <w:jc w:val="both"/>
        <w:spacing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  <w:t xml:space="preserve">1.</w:t>
      </w:r>
      <w:r>
        <w:rPr>
          <w:color w:val="000000"/>
        </w:rPr>
        <w:t xml:space="preserve"> Внести изменения в преамбулу постановления администрации города Перми от 26 октября 2023 г. № 1188 «Об утверждении Порядка формирования реестра исполнителей муниципальной услуги «Реализация дополнительных общеразвивающи</w:t>
      </w:r>
      <w:r>
        <w:rPr>
          <w:color w:val="000000"/>
        </w:rPr>
        <w:t xml:space="preserve">х программ» в соответствии с социальным сертификатом», заменив </w:t>
      </w:r>
      <w:r>
        <w:rPr>
          <w:color w:val="000000"/>
          <w:highlight w:val="none"/>
        </w:rPr>
        <w:t xml:space="preserve">слова «постановлением администрации города Перми от 09 августа </w:t>
        <w:br/>
        <w:t xml:space="preserve">2023 г. № 686» словами «постановлением администрации города Перми от 13 мая 2025 г. № 319».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720"/>
        <w:jc w:val="both"/>
        <w:spacing w:line="240" w:lineRule="auto"/>
        <w:rPr>
          <w:color w:val="000000"/>
          <w:highlight w:val="none"/>
        </w:rPr>
      </w:pPr>
      <w:r>
        <w:rPr>
          <w:color w:val="000000"/>
        </w:rPr>
        <w:t xml:space="preserve">2. </w:t>
      </w:r>
      <w:r>
        <w:rPr>
          <w:color w:val="000000"/>
        </w:rPr>
        <w:t xml:space="preserve">Внести изменения в преамбулу постановления администрации города Перми от 11 апреля 2024 г. № 282 «Об утверждении Порядка </w:t>
      </w:r>
      <w:r>
        <w:rPr>
          <w:color w:val="000000"/>
        </w:rPr>
        <w:t xml:space="preserve">предоставления субсидий юридическим лицам, индивидуальным предпринимателям, физическим лицам – производителям товаров, работ, услуг, связанных с оказанием муниципальных услуг в социальной сфере в соответствии с социальным сертификатом», заменив </w:t>
      </w:r>
      <w:r>
        <w:rPr>
          <w:color w:val="000000"/>
          <w:highlight w:val="none"/>
        </w:rPr>
        <w:t xml:space="preserve">слова «постановлением администрации города Перми </w:t>
        <w:br/>
        <w:t xml:space="preserve">от 09 августа 2023 г. № 686» словами «постановлением администрации города Перми от 13 мая 2025 г. № 319».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88"/>
        <w:ind w:firstLine="720"/>
        <w:jc w:val="both"/>
        <w:spacing w:line="240" w:lineRule="auto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3.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 г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</w:t>
      </w:r>
      <w:r>
        <w:rPr>
          <w:rFonts w:cs="Times New Roman"/>
          <w:sz w:val="28"/>
          <w:szCs w:val="28"/>
        </w:rPr>
        <w:t xml:space="preserve">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spacing w:line="240" w:lineRule="auto"/>
      </w:pPr>
      <w: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t xml:space="preserve">Мальцеву</w:t>
      </w:r>
      <w:r>
        <w:t xml:space="preserve"> </w:t>
      </w:r>
      <w:r>
        <w:t xml:space="preserve">Е</w:t>
      </w:r>
      <w:r>
        <w:t xml:space="preserve">.</w:t>
      </w:r>
      <w:r>
        <w:t xml:space="preserve">Д</w:t>
      </w:r>
      <w:r>
        <w:t xml:space="preserve">.</w:t>
      </w:r>
      <w:r/>
    </w:p>
    <w:p>
      <w:pPr>
        <w:pStyle w:val="888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spacing w:line="240" w:lineRule="exact"/>
        <w:tabs>
          <w:tab w:val="right" w:pos="9921" w:leader="none"/>
        </w:tabs>
      </w:pPr>
      <w:r>
        <w:t xml:space="preserve">И.о. Главы города Перми                                                                          Я.В. Фурман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uiPriority w:val="99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  <w:lang w:val="en-US" w:eastAsia="en-US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paragraph" w:styleId="983">
    <w:name w:val="Текст сноски"/>
    <w:basedOn w:val="888"/>
    <w:next w:val="983"/>
    <w:link w:val="984"/>
    <w:pPr>
      <w:jc w:val="both"/>
    </w:pPr>
  </w:style>
  <w:style w:type="character" w:styleId="984">
    <w:name w:val="Текст сноски Знак"/>
    <w:basedOn w:val="891"/>
    <w:next w:val="984"/>
    <w:link w:val="983"/>
  </w:style>
  <w:style w:type="paragraph" w:styleId="985">
    <w:name w:val="ConsPlusTitle"/>
    <w:next w:val="985"/>
    <w:link w:val="888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paragraph" w:styleId="986">
    <w:name w:val="ConsPlusNonformat"/>
    <w:next w:val="986"/>
    <w:link w:val="888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987">
    <w:name w:val="ConsPlusCell"/>
    <w:next w:val="987"/>
    <w:link w:val="888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988">
    <w:name w:val="ConsPlusDocList"/>
    <w:next w:val="988"/>
    <w:link w:val="888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989">
    <w:name w:val="ConsPlusTitlePage"/>
    <w:next w:val="989"/>
    <w:link w:val="888"/>
    <w:pPr>
      <w:widowControl w:val="off"/>
    </w:pPr>
    <w:rPr>
      <w:rFonts w:ascii="Tahoma" w:hAnsi="Tahoma" w:cs="Tahoma"/>
      <w:szCs w:val="22"/>
      <w:lang w:val="ru-RU" w:eastAsia="ru-RU" w:bidi="ar-SA"/>
    </w:rPr>
  </w:style>
  <w:style w:type="paragraph" w:styleId="990">
    <w:name w:val="ConsPlusJurTerm"/>
    <w:next w:val="990"/>
    <w:link w:val="888"/>
    <w:pPr>
      <w:widowControl w:val="off"/>
    </w:pPr>
    <w:rPr>
      <w:rFonts w:ascii="Tahoma" w:hAnsi="Tahoma" w:cs="Tahoma"/>
      <w:sz w:val="26"/>
      <w:szCs w:val="22"/>
      <w:lang w:val="ru-RU" w:eastAsia="ru-RU" w:bidi="ar-SA"/>
    </w:rPr>
  </w:style>
  <w:style w:type="paragraph" w:styleId="991">
    <w:name w:val="ConsPlusTextList"/>
    <w:next w:val="991"/>
    <w:link w:val="888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992">
    <w:name w:val="Строгий"/>
    <w:next w:val="992"/>
    <w:link w:val="888"/>
    <w:uiPriority w:val="22"/>
    <w:qFormat/>
    <w:rPr>
      <w:b/>
      <w:bCs/>
    </w:rPr>
  </w:style>
  <w:style w:type="paragraph" w:styleId="993">
    <w:name w:val="Обычный (веб)"/>
    <w:basedOn w:val="888"/>
    <w:next w:val="993"/>
    <w:link w:val="88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94">
    <w:name w:val="Знак сноски"/>
    <w:next w:val="994"/>
    <w:link w:val="888"/>
    <w:rPr>
      <w:vertAlign w:val="superscript"/>
    </w:rPr>
  </w:style>
  <w:style w:type="paragraph" w:styleId="995">
    <w:name w:val="Default"/>
    <w:next w:val="995"/>
    <w:link w:val="888"/>
    <w:rPr>
      <w:color w:val="000000"/>
      <w:sz w:val="24"/>
      <w:szCs w:val="24"/>
      <w:lang w:val="ru-RU" w:eastAsia="ru-RU" w:bidi="ar-SA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2024-03-14T11:26:00Z</dcterms:created>
  <dcterms:modified xsi:type="dcterms:W3CDTF">2025-06-04T12:30:08Z</dcterms:modified>
  <cp:version>786432</cp:version>
</cp:coreProperties>
</file>