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Героев Хасана, 8</w:t>
      </w:r>
      <w:r>
        <w:rPr>
          <w:b/>
          <w:sz w:val="28"/>
        </w:rPr>
        <w:br/>
      </w:r>
      <w:r>
        <w:rPr>
          <w:b/>
          <w:sz w:val="28"/>
        </w:rPr>
        <w:t xml:space="preserve">в Свердловском 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2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№ </w:t>
      </w:r>
      <w:r>
        <w:rPr>
          <w:sz w:val="28"/>
          <w:szCs w:val="28"/>
        </w:rPr>
        <w:t xml:space="preserve">059-21-01-08-2446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</w:t>
      </w:r>
      <w:r>
        <w:rPr>
          <w:sz w:val="28"/>
        </w:rPr>
        <w:t xml:space="preserve"> ул. Героев Хасана, 8</w:t>
        <w:br/>
      </w:r>
      <w:r>
        <w:rPr>
          <w:sz w:val="28"/>
        </w:rPr>
        <w:t xml:space="preserve">в Свердловском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4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17 июня 2025 г. </w:t>
        <w:br/>
      </w:r>
      <w:r>
        <w:rPr>
          <w:sz w:val="28"/>
          <w:szCs w:val="28"/>
        </w:rPr>
        <w:t xml:space="preserve">по 20 июня 2025 г.: вторник-четверг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</w:t>
      </w:r>
      <w:r>
        <w:rPr>
          <w:sz w:val="28"/>
          <w:szCs w:val="28"/>
        </w:rPr>
        <w:t xml:space="preserve">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 xml:space="preserve">17 июня</w:t>
      </w:r>
      <w:r>
        <w:rPr>
          <w:sz w:val="28"/>
          <w:szCs w:val="28"/>
        </w:rPr>
        <w:t xml:space="preserve"> 2025 г. с 17.20 час. до 17.40 час. 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</w:t>
        <w:br/>
        <w:t xml:space="preserve">ул. Сибирская, </w:t>
      </w:r>
      <w:r>
        <w:rPr>
          <w:color w:val="000000"/>
          <w:sz w:val="28"/>
          <w:szCs w:val="28"/>
        </w:rPr>
        <w:t xml:space="preserve">д. 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 17 июня 2025 г. по 20 июня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</w:t>
      </w:r>
      <w:r>
        <w:rPr>
          <w:sz w:val="28"/>
          <w:szCs w:val="28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 20 июня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6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lang w:eastAsia="ru-RU"/>
    </w:rPr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2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692"/>
    <w:next w:val="692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692"/>
    <w:next w:val="692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2"/>
    <w:next w:val="69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2"/>
    <w:next w:val="69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692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link w:val="89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69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2"/>
    <w:next w:val="692"/>
    <w:uiPriority w:val="39"/>
    <w:unhideWhenUsed/>
    <w:pPr>
      <w:spacing w:after="57"/>
    </w:pPr>
  </w:style>
  <w:style w:type="paragraph" w:styleId="88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2"/>
    <w:next w:val="692"/>
    <w:uiPriority w:val="99"/>
    <w:unhideWhenUsed/>
  </w:style>
  <w:style w:type="paragraph" w:styleId="890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692"/>
    <w:pPr>
      <w:ind w:right="-1"/>
      <w:jc w:val="both"/>
    </w:pPr>
    <w:rPr>
      <w:sz w:val="26"/>
    </w:rPr>
  </w:style>
  <w:style w:type="character" w:styleId="892">
    <w:name w:val="page number"/>
    <w:basedOn w:val="702"/>
  </w:style>
  <w:style w:type="paragraph" w:styleId="893">
    <w:name w:val="Balloon Text"/>
    <w:basedOn w:val="692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692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02"/>
    <w:link w:val="740"/>
    <w:uiPriority w:val="99"/>
  </w:style>
  <w:style w:type="character" w:styleId="898">
    <w:name w:val="Emphasis"/>
    <w:qFormat/>
    <w:rPr>
      <w:i/>
      <w:iCs/>
    </w:rPr>
  </w:style>
  <w:style w:type="character" w:styleId="899" w:customStyle="1">
    <w:name w:val="Выделение1"/>
    <w:link w:val="87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Relationship Id="rId16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2024-10-21T04:30:00Z</dcterms:created>
  <dcterms:modified xsi:type="dcterms:W3CDTF">2025-06-05T10:19:34Z</dcterms:modified>
  <cp:version>983040</cp:version>
</cp:coreProperties>
</file>