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224726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7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2"/>
      </w:pPr>
      <w:r/>
      <w:r/>
    </w:p>
    <w:p>
      <w:pPr>
        <w:pStyle w:val="982"/>
      </w:pPr>
      <w:r/>
      <w:r/>
    </w:p>
    <w:p>
      <w:pPr>
        <w:pStyle w:val="982"/>
      </w:pPr>
      <w:r/>
      <w:r/>
    </w:p>
    <w:p>
      <w:pPr>
        <w:pStyle w:val="982"/>
      </w:pPr>
      <w:r/>
      <w:r/>
    </w:p>
    <w:p>
      <w:pPr>
        <w:ind w:right="4953"/>
        <w:spacing w:line="240" w:lineRule="exact"/>
        <w:rPr>
          <w:b/>
          <w:sz w:val="28"/>
          <w:szCs w:val="28"/>
        </w:rPr>
      </w:pPr>
      <w:r/>
      <w:bookmarkStart w:id="0" w:name="_Hlk180405808"/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/>
      <w:bookmarkStart w:id="1" w:name="_Hlk180238588"/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</w:t>
      </w:r>
      <w:bookmarkEnd w:id="0"/>
      <w:r/>
      <w:bookmarkEnd w:id="1"/>
      <w:r>
        <w:rPr>
          <w:b/>
          <w:sz w:val="28"/>
          <w:szCs w:val="28"/>
        </w:rPr>
        <w:t xml:space="preserve">, подведомственным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департаменту </w:t>
      </w:r>
      <w:r>
        <w:rPr>
          <w:b/>
          <w:sz w:val="28"/>
          <w:szCs w:val="28"/>
        </w:rPr>
        <w:t xml:space="preserve">культуры и молодежной политики администрации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на обеспечение отдыха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оздоровления детей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2"/>
      </w:pPr>
      <w:r/>
      <w:r/>
    </w:p>
    <w:p>
      <w:pPr>
        <w:pStyle w:val="982"/>
      </w:pPr>
      <w:r/>
      <w:r/>
    </w:p>
    <w:p>
      <w:pPr>
        <w:pStyle w:val="982"/>
      </w:pPr>
      <w:r/>
      <w:r/>
    </w:p>
    <w:p>
      <w:pPr>
        <w:pStyle w:val="988"/>
      </w:pPr>
      <w:r>
        <w:rPr>
          <w:rStyle w:val="990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rStyle w:val="990"/>
        </w:rPr>
        <w:br/>
        <w:t xml:space="preserve">от 22</w:t>
      </w:r>
      <w:r>
        <w:rPr>
          <w:rStyle w:val="990"/>
        </w:rPr>
        <w:t xml:space="preserve"> февраля 2020 г. № 203 «Об общих требованиях к нормативным правовым актам и муниципальным правовым актам, устанавливающим</w:t>
      </w:r>
      <w:r>
        <w:t xml:space="preserve"> порядок определения объема и условия предоставления бюджетным и автономным учреждениям субсидий на иные цели», постановлением Правител</w:t>
      </w:r>
      <w:r>
        <w:t xml:space="preserve">ьства Пермского края </w:t>
      </w:r>
      <w:r>
        <w:br/>
        <w:t xml:space="preserve">от 07 марта 2019 г. № 143-п «Об обеспечении отдыха и оздоровления детей </w:t>
        <w:br/>
        <w:t xml:space="preserve">в Пермском крае», постановлением администрации города Перми от 28 мая </w:t>
        <w:br/>
        <w:t xml:space="preserve">2025 г. № 367 «Об организации оздоровления, отдыха и занятости детей города Перми»</w:t>
      </w:r>
      <w:r/>
    </w:p>
    <w:p>
      <w:pPr>
        <w:pStyle w:val="988"/>
        <w:ind w:firstLine="0"/>
      </w:pPr>
      <w:r>
        <w:t xml:space="preserve">администр</w:t>
      </w:r>
      <w:r>
        <w:t xml:space="preserve">ация города Перми ПОСТАНОВЛЯЕТ:</w:t>
      </w:r>
      <w:r/>
    </w:p>
    <w:p>
      <w:pPr>
        <w:pStyle w:val="988"/>
      </w:pPr>
      <w:r>
        <w:t xml:space="preserve">1. Утвердить прилагаемый Порядок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</w:t>
      </w:r>
      <w:r>
        <w:t xml:space="preserve">на обеспечение отдыха и оздоровления детей.</w:t>
      </w:r>
      <w:r/>
    </w:p>
    <w:p>
      <w:pPr>
        <w:pStyle w:val="987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</w:t>
      </w:r>
      <w:r>
        <w:t xml:space="preserve">униципального образования город Пермь».</w:t>
      </w:r>
      <w:r/>
    </w:p>
    <w:p>
      <w:pPr>
        <w:pStyle w:val="987"/>
      </w:pPr>
      <w: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</w:t>
      </w:r>
      <w:r>
        <w:t xml:space="preserve">ов местного самоуправления муниципального образования город Пермь».</w:t>
      </w:r>
      <w:r/>
    </w:p>
    <w:p>
      <w:pPr>
        <w:pStyle w:val="98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7"/>
        <w:rPr>
          <w:highlight w:val="none"/>
        </w:rPr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</w:t>
      </w:r>
      <w:r>
        <w:t xml:space="preserve">ьный сайт муниципального образования город Пермь www.gorodperm.ru».</w:t>
      </w:r>
      <w:r>
        <w:rPr>
          <w:highlight w:val="none"/>
        </w:rPr>
      </w:r>
    </w:p>
    <w:p>
      <w:pPr>
        <w:pStyle w:val="987"/>
      </w:pPr>
      <w:r>
        <w:t xml:space="preserve">5. Контроль за исполнением настоящего постановления возложить </w:t>
      </w:r>
      <w:r>
        <w:br/>
        <w:t xml:space="preserve">на заместителя главы администрации города Перми Мальцеву Е.Д.</w:t>
      </w:r>
      <w:r/>
    </w:p>
    <w:p>
      <w:pPr>
        <w:pStyle w:val="987"/>
      </w:pPr>
      <w:r/>
      <w:r/>
    </w:p>
    <w:p>
      <w:pPr>
        <w:pStyle w:val="987"/>
      </w:pPr>
      <w:r/>
      <w:r/>
    </w:p>
    <w:p>
      <w:pPr>
        <w:pStyle w:val="987"/>
      </w:pPr>
      <w:r/>
      <w:r/>
    </w:p>
    <w:p>
      <w:pPr>
        <w:pStyle w:val="987"/>
        <w:ind w:firstLine="0"/>
        <w:jc w:val="left"/>
        <w:spacing w:line="238" w:lineRule="exact"/>
        <w:tabs>
          <w:tab w:val="left" w:pos="8364" w:leader="none"/>
        </w:tabs>
      </w:pPr>
      <w:r>
        <w:t xml:space="preserve">Глава города Перми </w:t>
      </w:r>
      <w:r>
        <w:tab/>
        <w:t xml:space="preserve">Э.О. Соснин</w:t>
      </w:r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</w:pPr>
      <w:r/>
      <w:r/>
    </w:p>
    <w:p>
      <w:pPr>
        <w:pStyle w:val="987"/>
        <w:ind w:firstLine="0"/>
        <w:sectPr>
          <w:headerReference w:type="default" r:id="rId9"/>
          <w:footerReference w:type="first" r:id="rId13"/>
          <w:footnotePr/>
          <w:endnotePr/>
          <w:type w:val="nextPage"/>
          <w:pgSz w:w="11906" w:h="16838" w:orient="portrait"/>
          <w:pgMar w:top="1134" w:right="567" w:bottom="1418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  <w:br/>
        <w:t xml:space="preserve">города Перми </w:t>
      </w:r>
      <w:r>
        <w:rPr>
          <w:rFonts w:eastAsia="Calibri"/>
          <w:sz w:val="28"/>
          <w:szCs w:val="28"/>
          <w:lang w:eastAsia="en-US"/>
        </w:rPr>
        <w:br/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16.06.2025 № 403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ПОРЯДОК</w:t>
      </w:r>
      <w:r/>
    </w:p>
    <w:p>
      <w:pPr>
        <w:pStyle w:val="989"/>
      </w:pPr>
      <w:r>
        <w:t xml:space="preserve">определения объема и условий </w:t>
      </w:r>
      <w:r>
        <w:t xml:space="preserve">предоставления субсидий на иные цели </w:t>
      </w:r>
      <w:r/>
    </w:p>
    <w:p>
      <w:pPr>
        <w:pStyle w:val="989"/>
      </w:pPr>
      <w:r>
        <w:t xml:space="preserve">бюджетным и автономным учреждениям, подведомственным департаменту культуры и молодежной политики администрации города Перми, </w:t>
      </w:r>
      <w:r/>
    </w:p>
    <w:p>
      <w:pPr>
        <w:pStyle w:val="989"/>
      </w:pPr>
      <w:r>
        <w:t xml:space="preserve">на обеспечение отдыха и оздоровления детей</w:t>
      </w:r>
      <w:r/>
    </w:p>
    <w:p>
      <w:pPr>
        <w:pStyle w:val="989"/>
      </w:pPr>
      <w:r/>
      <w:r/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 о предоставлении субсидий на </w:t>
      </w:r>
      <w:r>
        <w:rPr>
          <w:b/>
          <w:sz w:val="28"/>
          <w:szCs w:val="28"/>
        </w:rPr>
        <w:t xml:space="preserve">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32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определения объема и условий </w:t>
      </w:r>
      <w:r>
        <w:rPr>
          <w:rStyle w:val="990"/>
        </w:rPr>
        <w:t xml:space="preserve">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обеспечение отдыха и оздоров</w:t>
      </w:r>
      <w:r>
        <w:rPr>
          <w:rStyle w:val="990"/>
        </w:rPr>
        <w:t xml:space="preserve">ления детей</w:t>
      </w:r>
      <w:r>
        <w:t xml:space="preserve"> </w:t>
      </w:r>
      <w:r>
        <w:rPr>
          <w:sz w:val="28"/>
          <w:szCs w:val="28"/>
        </w:rPr>
        <w:t xml:space="preserve">определяет объем и условия предоставления субсидий на иные </w:t>
      </w:r>
      <w:r>
        <w:rPr>
          <w:rStyle w:val="990"/>
        </w:rPr>
        <w:t xml:space="preserve">цели на обеспечение отдыха и оздоровления детей муниципальным бюджетным и автономным учреждениям, в отношении которых департамент культуры и молодежной политики администрации города Пер</w:t>
      </w:r>
      <w:r>
        <w:rPr>
          <w:rStyle w:val="990"/>
        </w:rPr>
        <w:t xml:space="preserve">ми осуществляет</w:t>
      </w:r>
      <w:r>
        <w:rPr>
          <w:sz w:val="28"/>
          <w:szCs w:val="28"/>
        </w:rPr>
        <w:t xml:space="preserve"> функции и полномочия учредителя (далее – Порядок, субсидии на иные цели, Учреждения, Департамент).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</w:pPr>
      <w:r>
        <w:rPr>
          <w:bCs/>
        </w:rPr>
        <w:t xml:space="preserve">1.2. </w:t>
      </w:r>
      <w:r>
        <w:t xml:space="preserve">Целью предоставления субсидий на иные цели является создание условий для полноценного отдыха, укрепления здоровья за счет предоставления</w:t>
      </w:r>
      <w:r>
        <w:t xml:space="preserve"> здорового питания и творческого развития детей в рамках выполнения мероприятий муниципальной программы «Социальная поддержка и обеспечение семейного благополучия населения города Перми» (далее – муниципальная программа).</w:t>
      </w:r>
      <w:r/>
    </w:p>
    <w:p>
      <w:pPr>
        <w:pStyle w:val="988"/>
      </w:pPr>
      <w:r>
        <w:t xml:space="preserve">1.3. Субсидии на иные цели направл</w:t>
      </w:r>
      <w:r>
        <w:t xml:space="preserve">яются на организацию оплаты питания детей в лагерях с дневным пребыванием детей, организованных учреждениями, подведомственными департаменту культуры и молодежной политики администрации города Перми, осуществляющими организацию отдыха детей и их оздоровлен</w:t>
      </w:r>
      <w:r>
        <w:t xml:space="preserve">ия в каникулярное время.</w:t>
      </w:r>
      <w:r/>
    </w:p>
    <w:p>
      <w:pPr>
        <w:pStyle w:val="988"/>
      </w:pPr>
      <w:r>
        <w:t xml:space="preserve">1.4. Субсидии на иные цели предоставляются Учреждениям в пределах бюджетных ассигнований и лимитов бюджетных обязательств на текущий финансовый год на основании сводной бюджетной росписи бюджета города Перми за счет средств бюджета</w:t>
      </w:r>
      <w:r>
        <w:t xml:space="preserve"> Пермского края в рамках реализации мероприятий муниципальной программы.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988"/>
      </w:pPr>
      <w:r>
        <w:t xml:space="preserve">2.1. Для получения субсидий на иные цели Учреждения направляют в Департамент:</w:t>
      </w:r>
      <w:r/>
    </w:p>
    <w:p>
      <w:pPr>
        <w:pStyle w:val="988"/>
      </w:pPr>
      <w:r>
        <w:t xml:space="preserve">расчет-обоснование суммы субсидий на иные це</w:t>
      </w:r>
      <w:r>
        <w:t xml:space="preserve">ли согласно </w:t>
      </w:r>
      <w:r>
        <w:t xml:space="preserve">приложению</w:t>
      </w:r>
      <w:r>
        <w:t xml:space="preserve"> </w:t>
        <w:br/>
        <w:t xml:space="preserve">к настоящему Порядку;</w:t>
      </w:r>
      <w:r/>
    </w:p>
    <w:p>
      <w:pPr>
        <w:pStyle w:val="988"/>
      </w:pPr>
      <w:r>
        <w:t xml:space="preserve">пояснительную записку, содержащую обоснование необходимости предоставления субсидий на иные цели;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у Учреждений</w:t>
      </w:r>
      <w:r>
        <w:rPr>
          <w:sz w:val="28"/>
          <w:szCs w:val="28"/>
        </w:rPr>
        <w:t xml:space="preserve"> задолженности по уплате налогов, сборов и иных обязательных платежей в бюджеты бюджетной системы Российской Федерации.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eastAsia="zh-CN"/>
        </w:rPr>
        <w:t xml:space="preserve">Рассмотрение и проверка документов на полноту их представления </w:t>
      </w:r>
      <w:r>
        <w:rPr>
          <w:sz w:val="28"/>
          <w:szCs w:val="28"/>
          <w:lang w:eastAsia="zh-CN"/>
        </w:rPr>
        <w:br/>
        <w:t xml:space="preserve">в соответствии с пунктом 2.1 настоящего Порядка о</w:t>
      </w:r>
      <w:r>
        <w:rPr>
          <w:sz w:val="28"/>
          <w:szCs w:val="28"/>
          <w:lang w:eastAsia="zh-CN"/>
        </w:rPr>
        <w:t xml:space="preserve">существляется Департаментом в течение 10 рабочих дней с даты их представления.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</w:t>
      </w:r>
      <w:r>
        <w:rPr>
          <w:sz w:val="28"/>
          <w:szCs w:val="28"/>
        </w:rPr>
        <w:t xml:space="preserve">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</w:t>
      </w:r>
      <w:r>
        <w:rPr>
          <w:sz w:val="28"/>
          <w:szCs w:val="28"/>
        </w:rPr>
        <w:t xml:space="preserve">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Учреждениям в предоставлении субсиди</w:t>
      </w:r>
      <w:r>
        <w:rPr>
          <w:sz w:val="28"/>
          <w:szCs w:val="28"/>
        </w:rPr>
        <w:t xml:space="preserve">й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</w:t>
      </w:r>
      <w:r>
        <w:rPr>
          <w:sz w:val="28"/>
          <w:szCs w:val="28"/>
        </w:rPr>
        <w:t xml:space="preserve">ащейся в документах, представленных Учреждениями,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</w:pPr>
      <w:r>
        <w:t xml:space="preserve">2.5. Размер субсидий на иные цели определяется исходя из размера стоимости питания в день, установленной постановлением Правительства Пермского края от 07 ма</w:t>
      </w:r>
      <w:r>
        <w:t xml:space="preserve">рта 2019 г. № 143-п «Об обеспечении отдыха и оздоровления детей в Пермском крае», количества детей в лагерях с дневным пребыванием в каникулярное время и количества дней смены в лагерях с дневным пребыванием в каникулярное время.</w:t>
      </w:r>
      <w:r/>
    </w:p>
    <w:p>
      <w:pPr>
        <w:pStyle w:val="985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</w:t>
      </w:r>
      <w:r>
        <w:rPr>
          <w:sz w:val="28"/>
          <w:szCs w:val="28"/>
        </w:rPr>
        <w:t xml:space="preserve">ые цели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в соответствии с соглашениями о предоставлении субсидии из бюджета города Перми, заключенным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между Департаментом и Учреждениями (далее – Соглашения) </w:t>
      </w:r>
      <w:bookmarkStart w:id="2" w:name="_Hlk195799978"/>
      <w:r>
        <w:rPr>
          <w:sz w:val="28"/>
          <w:szCs w:val="28"/>
        </w:rPr>
        <w:t xml:space="preserve">по тип</w:t>
      </w:r>
      <w:r>
        <w:rPr>
          <w:sz w:val="28"/>
          <w:szCs w:val="28"/>
        </w:rPr>
        <w:t xml:space="preserve">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</w:pPr>
      <w:r>
        <w:t xml:space="preserve">Заключение Соглашений осуществляется Департаментом </w:t>
      </w:r>
      <w:bookmarkEnd w:id="2"/>
      <w:r>
        <w:t xml:space="preserve">не позднее 15 рабочих дней со дня перечисления межбюджетных трансфертов из бюджет</w:t>
      </w:r>
      <w:r>
        <w:t xml:space="preserve">а Пермского края в бюджет города Перми.</w:t>
      </w:r>
      <w:r/>
    </w:p>
    <w:p>
      <w:pPr>
        <w:pStyle w:val="988"/>
      </w:pPr>
      <w:r>
        <w:t xml:space="preserve">2.8. Условиями заключения Соглашений являются:</w:t>
      </w:r>
      <w:r/>
    </w:p>
    <w:p>
      <w:pPr>
        <w:pStyle w:val="988"/>
      </w:pPr>
      <w:r>
        <w:t xml:space="preserve">соответствие Учреждений требованиям, установленным пунктом 2.3 настоящего Порядка;</w:t>
      </w:r>
      <w:r/>
    </w:p>
    <w:p>
      <w:pPr>
        <w:pStyle w:val="988"/>
      </w:pPr>
      <w:r>
        <w:t xml:space="preserve">наличие бюджетных ассигнований и лимитов бюджетных обязательств за счет средств бюджет</w:t>
      </w:r>
      <w:r>
        <w:t xml:space="preserve">а Пермского края в муниципальной программе;</w:t>
      </w:r>
      <w:r/>
    </w:p>
    <w:p>
      <w:pPr>
        <w:pStyle w:val="988"/>
      </w:pPr>
      <w:r>
        <w:t xml:space="preserve">наличие бюджетных ассигнований для предоставления субсидий на иные цели в сводной бюджетной росписи бюджета города Перми.</w:t>
      </w:r>
      <w:r/>
    </w:p>
    <w:p>
      <w:pPr>
        <w:pStyle w:val="988"/>
        <w:rPr>
          <w:bCs/>
        </w:rPr>
      </w:pPr>
      <w:r>
        <w:rPr>
          <w:bCs/>
        </w:rPr>
        <w:t xml:space="preserve">2.9. В случаях, установленных Соглашениями, заключаются дополнительные соглашения к указан</w:t>
      </w:r>
      <w:r>
        <w:rPr>
          <w:bCs/>
        </w:rPr>
        <w:t xml:space="preserve">ным Соглашениям, предусматривающие внесение в них изменений или их расторжение, в соответствии с типовой формой.</w:t>
      </w:r>
      <w:r>
        <w:rPr>
          <w:bCs/>
        </w:rPr>
      </w:r>
      <w:r>
        <w:rPr>
          <w:bCs/>
        </w:rPr>
      </w:r>
    </w:p>
    <w:p>
      <w:pPr>
        <w:pStyle w:val="988"/>
      </w:pPr>
      <w:r>
        <w:t xml:space="preserve">При внесении изменений в настоящий Порядок, сводную бюджетную роспись, муниципальную программу, требующих внесения изменений в Соглашения, допо</w:t>
      </w:r>
      <w:r>
        <w:t xml:space="preserve">лнительные соглашения заключаются в течение 10 рабочих дней со дня вступления в силу изменений в указанные правовые акты.</w:t>
      </w:r>
      <w:r/>
    </w:p>
    <w:p>
      <w:pPr>
        <w:pStyle w:val="988"/>
      </w:pPr>
      <w:r>
        <w:t xml:space="preserve">2.10. Субсидии на иные цели перечисляются Учреждениям в сроки, установленные Соглашениями. Периодичность перечисления субсидий на иные</w:t>
      </w:r>
      <w:r>
        <w:t xml:space="preserve"> </w:t>
        <w:br/>
        <w:t xml:space="preserve">цели – по мере поступления бюджетных средств из бюджета Пермского края.</w:t>
      </w:r>
      <w:r/>
    </w:p>
    <w:p>
      <w:pPr>
        <w:pStyle w:val="988"/>
      </w:pPr>
      <w:r>
        <w:t xml:space="preserve"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  <w:r/>
    </w:p>
    <w:p>
      <w:pPr>
        <w:pStyle w:val="988"/>
      </w:pPr>
      <w:r>
        <w:t xml:space="preserve">2.12. Субсидии</w:t>
      </w:r>
      <w:r>
        <w:t xml:space="preserve"> на иные цели Учреждениям предоставляются путем перечисления Департаментом денежных средств на отдельный лицевой счет, открытый в департаменте финансов администрации города Перми, в установленном порядке.</w:t>
      </w:r>
      <w:r/>
    </w:p>
    <w:p>
      <w:pPr>
        <w:pStyle w:val="988"/>
      </w:pPr>
      <w:r>
        <w:t xml:space="preserve">Ведение бухгалтерского учета по предоставленным суб</w:t>
      </w:r>
      <w:r>
        <w:t xml:space="preserve">сидиям на иные цели осуществляется с применением аналитических кодов счетов бухгалтерского учета. </w:t>
      </w:r>
      <w:r/>
    </w:p>
    <w:p>
      <w:pPr>
        <w:pStyle w:val="988"/>
      </w:pPr>
      <w:r>
        <w:t xml:space="preserve">2.13. Результатом предоставления субсидий на иные цели является количество детей, охваченных оздоровлением и отдыхом в лагерях с дневным пребыванием детей, о</w:t>
      </w:r>
      <w:r>
        <w:t xml:space="preserve">рганизованных учреждениями, подведомственными департаменту культуры и молодежной политики администрации города Перми, осуществляющими организацию отдыха детей и их оздоровления в каникулярное время, которым оплачено питание, в соответствии с муниципальной </w:t>
      </w:r>
      <w:r>
        <w:t xml:space="preserve">программой.</w:t>
      </w:r>
      <w:r/>
    </w:p>
    <w:p>
      <w:pPr>
        <w:pStyle w:val="988"/>
      </w:pPr>
      <w:r>
        <w:t xml:space="preserve">План мероприятий по достижению результата предоставления субсидий </w:t>
      </w:r>
      <w:r>
        <w:br/>
        <w:t xml:space="preserve">на иные цели устанавливается Соглашениями.</w:t>
      </w:r>
      <w:r/>
    </w:p>
    <w:p>
      <w:pPr>
        <w:pStyle w:val="988"/>
      </w:pPr>
      <w:r/>
      <w:r/>
    </w:p>
    <w:p>
      <w:pPr>
        <w:pStyle w:val="988"/>
        <w:ind w:firstLine="0"/>
        <w:jc w:val="center"/>
        <w:rPr>
          <w:b/>
        </w:rPr>
      </w:pPr>
      <w:r>
        <w:rPr>
          <w:b/>
          <w:lang w:val="en-US"/>
        </w:rPr>
        <w:t xml:space="preserve">III</w:t>
      </w:r>
      <w:r>
        <w:rPr>
          <w:b/>
        </w:rPr>
        <w:t xml:space="preserve">. Требования к отчетности</w:t>
      </w:r>
      <w:r>
        <w:rPr>
          <w:b/>
        </w:rPr>
      </w:r>
      <w:r>
        <w:rPr>
          <w:b/>
        </w:rPr>
      </w:r>
    </w:p>
    <w:p>
      <w:pPr>
        <w:pStyle w:val="988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88"/>
        <w:rPr>
          <w:bCs/>
        </w:rPr>
      </w:pPr>
      <w:r>
        <w:t xml:space="preserve">3.1. </w:t>
      </w:r>
      <w:r>
        <w:rPr>
          <w:bCs/>
        </w:rPr>
        <w:t xml:space="preserve">Учреждения по форме, установленной в Соглашениях, представляют </w:t>
        <w:br/>
        <w:t xml:space="preserve">в Де</w:t>
      </w:r>
      <w:r>
        <w:rPr>
          <w:bCs/>
        </w:rPr>
        <w:t xml:space="preserve">партамент следующие отчеты (далее – Отчеты):</w:t>
      </w:r>
      <w:r>
        <w:rPr>
          <w:bCs/>
        </w:rPr>
      </w:r>
      <w:r>
        <w:rPr>
          <w:bCs/>
        </w:rPr>
      </w:r>
    </w:p>
    <w:p>
      <w:pPr>
        <w:pStyle w:val="988"/>
        <w:rPr>
          <w:bCs/>
        </w:rPr>
      </w:pPr>
      <w:r>
        <w:rPr>
          <w:bCs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</w:t>
      </w:r>
      <w:r>
        <w:rPr>
          <w:bCs/>
        </w:rPr>
      </w:r>
      <w:r>
        <w:rPr>
          <w:bCs/>
        </w:rPr>
      </w:r>
    </w:p>
    <w:p>
      <w:pPr>
        <w:pStyle w:val="988"/>
        <w:rPr>
          <w:bCs/>
        </w:rPr>
      </w:pPr>
      <w:r>
        <w:rPr>
          <w:bCs/>
        </w:rPr>
        <w:t xml:space="preserve">отчет о достижении значений результатов пр</w:t>
      </w:r>
      <w:r>
        <w:rPr>
          <w:bCs/>
        </w:rPr>
        <w:t xml:space="preserve">едоставления субсидий на иные цели – ежегодно не позднее 15 рабочего дня месяца, следующего за отчетным годом;</w:t>
      </w:r>
      <w:r>
        <w:rPr>
          <w:bCs/>
        </w:rPr>
      </w:r>
      <w:r>
        <w:rPr>
          <w:bCs/>
        </w:rPr>
      </w:r>
    </w:p>
    <w:p>
      <w:pPr>
        <w:pStyle w:val="988"/>
      </w:pPr>
      <w:r>
        <w:rPr>
          <w:bCs/>
        </w:rPr>
        <w:t xml:space="preserve">отчет о реализации плана мероприятий по достижению результатов предоставления субсидий на иные цели – ежеквартально не позднее 5 календарного дня</w:t>
      </w:r>
      <w:r>
        <w:rPr>
          <w:bCs/>
        </w:rPr>
        <w:t xml:space="preserve"> месяца, следующего за отчетным кварталом, а также не позднее 10 рабочего дня </w:t>
      </w:r>
      <w:r>
        <w:rPr>
          <w:bCs/>
        </w:rPr>
        <w:t xml:space="preserve">после достижения конечного значения результата предоставления субсидий на иные цели.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</w:t>
      </w:r>
      <w:r>
        <w:rPr>
          <w:sz w:val="28"/>
          <w:szCs w:val="28"/>
        </w:rPr>
        <w:t xml:space="preserve"> возлагается на руководителей Учреждений.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Департамент имеет право устанавливать в Соглашении формы представления Учреждени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дополнительной отчетности и сроки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осуществления контроля за соблюдением целей,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 и ответственность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их несоблюдение</w:t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30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Учреждениям субсидий на </w:t>
      </w:r>
      <w:r>
        <w:rPr>
          <w:sz w:val="28"/>
          <w:szCs w:val="28"/>
        </w:rPr>
        <w:t xml:space="preserve">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цели, определенных Со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лашением (контрольных точек), в порядке </w:t>
        <w:br/>
        <w:t xml:space="preserve">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</w:t>
      </w:r>
      <w:r>
        <w:rPr>
          <w:sz w:val="28"/>
          <w:szCs w:val="28"/>
        </w:rPr>
        <w:t xml:space="preserve">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</w:t>
      </w:r>
      <w:r>
        <w:rPr>
          <w:sz w:val="28"/>
          <w:szCs w:val="28"/>
        </w:rPr>
        <w:br/>
        <w:t xml:space="preserve">от 27 апреля 2024 г. № 53н.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Учреждения несут ответственность за несоблюдение целей и условий предо</w:t>
      </w:r>
      <w:r>
        <w:rPr>
          <w:sz w:val="28"/>
          <w:szCs w:val="28"/>
        </w:rPr>
        <w:t xml:space="preserve">ставления субсидий, установленных настоящим Порядком.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</w:t>
      </w:r>
      <w:r>
        <w:rPr>
          <w:sz w:val="28"/>
          <w:szCs w:val="28"/>
        </w:rPr>
        <w:t xml:space="preserve">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со дня получения Учреждениями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</w:t>
      </w:r>
      <w:r>
        <w:rPr>
          <w:sz w:val="28"/>
          <w:szCs w:val="28"/>
        </w:rPr>
        <w:t xml:space="preserve">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Учреждениями требования о возврате субсидий на иные цели Департамент обеспечивает вз</w:t>
      </w:r>
      <w:r>
        <w:rPr>
          <w:sz w:val="28"/>
          <w:szCs w:val="28"/>
        </w:rPr>
        <w:t xml:space="preserve">ыскание субсидий на иные цели 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</w:pPr>
      <w:r>
        <w:t xml:space="preserve">4.4. В случае недостижения результата предоставления субсидий на иные цели, установленного пунктом 2.13 настоящего Порядка, субсидии на иные цели подлежат возв</w:t>
      </w:r>
      <w:r>
        <w:t xml:space="preserve">рату в доход бюджета в течение 25 рабочих дней со дня выявления указанного недостижения.</w:t>
      </w:r>
      <w:r/>
    </w:p>
    <w:p>
      <w:pPr>
        <w:pStyle w:val="987"/>
      </w:pPr>
      <w:r/>
      <w:bookmarkStart w:id="3" w:name="Par0"/>
      <w:r/>
      <w:bookmarkEnd w:id="3"/>
      <w:r>
        <w:t xml:space="preserve">4.5. 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</w:t>
      </w:r>
      <w:r>
        <w:t xml:space="preserve">требности в направлении их на те же цели.</w:t>
      </w:r>
      <w:r/>
    </w:p>
    <w:p>
      <w:pPr>
        <w:pStyle w:val="987"/>
      </w:pPr>
      <w:r>
        <w:t xml:space="preserve">Учреждения не позднее первых 10 рабочих дней текущего финансового года направляют в Департамент запрос, отражающий причины образования неиспользованных остатков и необходимость их использования в текущем финансовом</w:t>
      </w:r>
      <w:r>
        <w:t xml:space="preserve">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/>
    </w:p>
    <w:p>
      <w:pPr>
        <w:pStyle w:val="987"/>
      </w:pPr>
      <w:r>
        <w:t xml:space="preserve">Решение Департамента об использовании в текущем </w:t>
      </w:r>
      <w:r>
        <w:t xml:space="preserve">финансовом году указанных средств принимается по итогам рассмотрения запросов, представленных Учреждениями в Департамент, не позднее 5 рабочих дней с момента поступления запроса Учреждени</w:t>
      </w:r>
      <w:r>
        <w:t xml:space="preserve">й</w:t>
      </w:r>
      <w:bookmarkStart w:id="4" w:name="_GoBack"/>
      <w:r/>
      <w:bookmarkEnd w:id="4"/>
      <w:r>
        <w:t xml:space="preserve"> путем издания приказа начальника Департамента.</w:t>
      </w:r>
      <w:r/>
    </w:p>
    <w:p>
      <w:pPr>
        <w:pStyle w:val="987"/>
      </w:pPr>
      <w:r>
        <w:t xml:space="preserve">Неиспользованные ост</w:t>
      </w:r>
      <w:r>
        <w:t xml:space="preserve">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Перми, с пос</w:t>
      </w:r>
      <w:r>
        <w:t xml:space="preserve">ледующим возвратом в установленном порядке в бюджет Пермского края, не позднее первых 15 рабочих дней текущего финансового года.</w:t>
      </w:r>
      <w:r/>
    </w:p>
    <w:p>
      <w:pPr>
        <w:pStyle w:val="987"/>
      </w:pPr>
      <w:r>
        <w:rPr>
          <w:rStyle w:val="986"/>
        </w:rPr>
        <w:t xml:space="preserve">4.6. В случае поступления средств от возврата ранее произведенных Учреждениями</w:t>
      </w:r>
      <w:r>
        <w:rPr>
          <w:rStyle w:val="986"/>
        </w:rPr>
        <w:t xml:space="preserve"> выплат, источником финансового обеспечения которых являются субсидии на иные цели, для достижения целей, установленных при предоставлении субсидий</w:t>
      </w:r>
      <w:r>
        <w:t xml:space="preserve"> на иные цели, Департамент в течение 30 рабочих дней с момента их поступления принимает решение путем издания</w:t>
      </w:r>
      <w:r>
        <w:t xml:space="preserve"> приказа об использовании в текущем финансовом году указанных средств.</w:t>
      </w:r>
      <w:r/>
    </w:p>
    <w:p>
      <w:pPr>
        <w:pStyle w:val="987"/>
      </w:pPr>
      <w:r>
        <w:t xml:space="preserve">Решение Департамента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</w:t>
      </w:r>
      <w:r>
        <w:t xml:space="preserve">иями в Департамент в течение </w:t>
      </w:r>
      <w:r>
        <w:br/>
        <w:t xml:space="preserve">15 рабочих дней с момента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</w:t>
      </w:r>
      <w:r>
        <w:t xml:space="preserve">ельств, принятых до начала текущего финансового года либо подлежащих принятию в текущем финансовом году.</w:t>
      </w:r>
      <w:r/>
    </w:p>
    <w:p>
      <w:pPr>
        <w:pStyle w:val="987"/>
      </w:pPr>
      <w:r>
        <w:t xml:space="preserve">4.7. В случае если расходы автономных Учреждений, источником финансового обеспечения которого должны являться субсидии на иные цели, осуществлены за сч</w:t>
      </w:r>
      <w:r>
        <w:t xml:space="preserve">ет средств этих Учреждений, получаемых автономными Учреждениями </w:t>
      </w:r>
      <w:r>
        <w:br/>
        <w:t xml:space="preserve">от приносящей доход деятельности, и со средствами, поступающими автономным Учреждениям на финансовое обеспечение выполнения ими муниципального задания, автономные Учреждения вправе осуществит</w:t>
      </w:r>
      <w:r>
        <w:t xml:space="preserve">ь возмещение указанных расходов за счет субсидий на иные цели после проверки документов, подтверждающих подлежащие возмещению расходы.</w:t>
      </w:r>
      <w:r/>
    </w:p>
    <w:p>
      <w:pPr>
        <w:pStyle w:val="987"/>
      </w:pPr>
      <w:r>
        <w:t xml:space="preserve">В случае если расходы бюджетных Учреждений, источником финансового обеспечения которых должны являться субсидии на иные ц</w:t>
      </w:r>
      <w:r>
        <w:t xml:space="preserve">ели, осуществлены за счет средств этих Учреждений, получаемых бюджетными Учреждениями от приносящей доход деятельности, и со средствами, поступающими бюджетным Учреждениям на финансовое обеспечение выполнения им муниципального задания, бюджетные Учреждения</w:t>
      </w:r>
      <w:r>
        <w:t xml:space="preserve"> вправе осуществить возмещение указанных расходов за счет субсидий на иные цели после проверки документов, подтверждающих под</w:t>
      </w:r>
      <w:r>
        <w:t xml:space="preserve">лежащие возмещению расходы, в случае отсутствия на момент осуществления расходов, на исполнение которых предоставляются субсидии на</w:t>
      </w:r>
      <w:r>
        <w:t xml:space="preserve"> иные цели, возможности их оплаты за счет субсидий на иные цели.</w:t>
      </w:r>
      <w:r/>
    </w:p>
    <w:p>
      <w:pPr>
        <w:pStyle w:val="987"/>
      </w:pPr>
      <w:r>
        <w:t xml:space="preserve">Возмещение расходов Учреждений осуществляется после согласования их возмещения Департаментом в порядке, утвержденном правовым актом начальника департамента финансов администрации города Перми</w:t>
      </w:r>
      <w:r>
        <w:t xml:space="preserve">.</w:t>
      </w:r>
      <w:r/>
    </w:p>
    <w:p>
      <w:pPr>
        <w:pStyle w:val="987"/>
      </w:pPr>
      <w:r/>
      <w:r/>
    </w:p>
    <w:p>
      <w:pPr>
        <w:pStyle w:val="987"/>
      </w:pPr>
      <w:r/>
      <w:r/>
    </w:p>
    <w:p>
      <w:pPr>
        <w:contextualSpacing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left="5670"/>
        <w:jc w:val="left"/>
        <w:rPr>
          <w:b w:val="0"/>
        </w:rPr>
      </w:pPr>
      <w:r/>
      <w:bookmarkStart w:id="5" w:name="_Hlk180251535"/>
      <w:r>
        <w:rPr>
          <w:b w:val="0"/>
        </w:rPr>
        <w:t xml:space="preserve">Приложение </w:t>
      </w:r>
      <w:r>
        <w:rPr>
          <w:b w:val="0"/>
        </w:rPr>
      </w:r>
      <w:r>
        <w:rPr>
          <w:b w:val="0"/>
        </w:rPr>
      </w:r>
    </w:p>
    <w:p>
      <w:pPr>
        <w:pStyle w:val="989"/>
        <w:ind w:left="5670"/>
        <w:jc w:val="left"/>
        <w:rPr>
          <w:b w:val="0"/>
          <w:bCs w:val="0"/>
        </w:rPr>
      </w:pPr>
      <w:r>
        <w:rPr>
          <w:b w:val="0"/>
        </w:rPr>
        <w:t xml:space="preserve">к Порядку определения объема </w:t>
      </w:r>
      <w:r>
        <w:rPr>
          <w:b w:val="0"/>
        </w:rPr>
      </w:r>
      <w:r>
        <w:rPr>
          <w:b w:val="0"/>
          <w:bCs w:val="0"/>
        </w:rPr>
      </w:r>
    </w:p>
    <w:p>
      <w:pPr>
        <w:pStyle w:val="989"/>
        <w:ind w:left="5670"/>
        <w:jc w:val="left"/>
        <w:rPr>
          <w:b w:val="0"/>
          <w:bCs w:val="0"/>
        </w:rPr>
      </w:pPr>
      <w:r>
        <w:rPr>
          <w:b w:val="0"/>
        </w:rPr>
        <w:t xml:space="preserve">и условий предоставления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89"/>
        <w:ind w:left="5670"/>
        <w:jc w:val="left"/>
        <w:rPr>
          <w:b w:val="0"/>
          <w:bCs w:val="0"/>
        </w:rPr>
      </w:pPr>
      <w:r>
        <w:rPr>
          <w:b w:val="0"/>
        </w:rPr>
      </w:r>
      <w:bookmarkEnd w:id="5"/>
      <w:r>
        <w:rPr>
          <w:b w:val="0"/>
        </w:rPr>
        <w:t xml:space="preserve">субсидий на иные цели </w:t>
      </w:r>
      <w:r>
        <w:rPr>
          <w:b w:val="0"/>
          <w:bCs w:val="0"/>
        </w:rPr>
      </w:r>
    </w:p>
    <w:p>
      <w:pPr>
        <w:pStyle w:val="989"/>
        <w:ind w:left="5670"/>
        <w:jc w:val="left"/>
        <w:rPr>
          <w:b w:val="0"/>
        </w:rPr>
      </w:pPr>
      <w:r>
        <w:rPr>
          <w:b w:val="0"/>
        </w:rPr>
        <w:t xml:space="preserve">бюджетным и автономным </w:t>
      </w:r>
      <w:r>
        <w:rPr>
          <w:b w:val="0"/>
        </w:rPr>
      </w:r>
      <w:r>
        <w:rPr>
          <w:b w:val="0"/>
        </w:rPr>
      </w:r>
    </w:p>
    <w:p>
      <w:pPr>
        <w:pStyle w:val="989"/>
        <w:ind w:left="5670"/>
        <w:jc w:val="left"/>
        <w:rPr>
          <w:b w:val="0"/>
          <w:bCs w:val="0"/>
        </w:rPr>
      </w:pPr>
      <w:r>
        <w:rPr>
          <w:b w:val="0"/>
        </w:rPr>
        <w:t xml:space="preserve">учреждениям, подведомственным </w:t>
      </w:r>
      <w:r>
        <w:rPr>
          <w:b w:val="0"/>
        </w:rPr>
      </w:r>
      <w:r>
        <w:rPr>
          <w:b w:val="0"/>
          <w:bCs w:val="0"/>
        </w:rPr>
      </w:r>
    </w:p>
    <w:p>
      <w:pPr>
        <w:pStyle w:val="989"/>
        <w:ind w:left="5670"/>
        <w:jc w:val="left"/>
        <w:rPr>
          <w:b w:val="0"/>
          <w:bCs w:val="0"/>
        </w:rPr>
      </w:pPr>
      <w:r>
        <w:rPr>
          <w:b w:val="0"/>
        </w:rPr>
        <w:t xml:space="preserve">департаменту культуры </w:t>
      </w:r>
      <w:r>
        <w:rPr>
          <w:b w:val="0"/>
        </w:rPr>
      </w:r>
      <w:r>
        <w:rPr>
          <w:b w:val="0"/>
          <w:bCs w:val="0"/>
        </w:rPr>
      </w:r>
    </w:p>
    <w:p>
      <w:pPr>
        <w:pStyle w:val="989"/>
        <w:ind w:left="5670"/>
        <w:jc w:val="left"/>
        <w:rPr>
          <w:b w:val="0"/>
        </w:rPr>
      </w:pPr>
      <w:r>
        <w:rPr>
          <w:b w:val="0"/>
        </w:rPr>
        <w:t xml:space="preserve">и молодежной политики </w:t>
      </w:r>
      <w:r>
        <w:rPr>
          <w:b w:val="0"/>
        </w:rPr>
      </w:r>
      <w:r>
        <w:rPr>
          <w:b w:val="0"/>
        </w:rPr>
      </w:r>
    </w:p>
    <w:p>
      <w:pPr>
        <w:pStyle w:val="989"/>
        <w:ind w:left="5670"/>
        <w:jc w:val="left"/>
        <w:rPr>
          <w:b w:val="0"/>
        </w:rPr>
      </w:pPr>
      <w:r>
        <w:rPr>
          <w:b w:val="0"/>
        </w:rPr>
        <w:t xml:space="preserve">администрации города Перми, </w:t>
      </w:r>
      <w:r>
        <w:rPr>
          <w:b w:val="0"/>
        </w:rPr>
      </w:r>
      <w:r>
        <w:rPr>
          <w:b w:val="0"/>
        </w:rPr>
      </w:r>
    </w:p>
    <w:p>
      <w:pPr>
        <w:pStyle w:val="989"/>
        <w:ind w:left="5670"/>
        <w:jc w:val="left"/>
        <w:rPr>
          <w:b w:val="0"/>
        </w:rPr>
      </w:pPr>
      <w:r>
        <w:rPr>
          <w:b w:val="0"/>
        </w:rPr>
        <w:t xml:space="preserve">на обе</w:t>
      </w:r>
      <w:r>
        <w:rPr>
          <w:b w:val="0"/>
        </w:rPr>
        <w:t xml:space="preserve">спечение отдыха </w:t>
      </w:r>
      <w:r>
        <w:rPr>
          <w:b w:val="0"/>
        </w:rPr>
      </w:r>
      <w:r>
        <w:rPr>
          <w:b w:val="0"/>
        </w:rPr>
      </w:r>
    </w:p>
    <w:p>
      <w:pPr>
        <w:pStyle w:val="989"/>
        <w:ind w:left="5670"/>
        <w:jc w:val="left"/>
        <w:rPr>
          <w:b w:val="0"/>
        </w:rPr>
      </w:pPr>
      <w:r>
        <w:rPr>
          <w:b w:val="0"/>
        </w:rPr>
        <w:t xml:space="preserve">и оздоровления детей</w:t>
      </w:r>
      <w:r>
        <w:rPr>
          <w:b w:val="0"/>
        </w:rPr>
      </w:r>
      <w:r>
        <w:rPr>
          <w:b w:val="0"/>
        </w:rPr>
      </w:r>
    </w:p>
    <w:p>
      <w:pPr>
        <w:pStyle w:val="989"/>
        <w:ind w:left="5670"/>
        <w:jc w:val="left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РАСЧЕТ-ОБОСНОВАНИЕ </w:t>
      </w:r>
      <w:r>
        <w:br/>
        <w:t xml:space="preserve">суммы субсидий на иные цели на обеспечение отдыха</w:t>
      </w:r>
      <w:r/>
    </w:p>
    <w:p>
      <w:pPr>
        <w:pStyle w:val="989"/>
      </w:pPr>
      <w:r>
        <w:t xml:space="preserve">и оздоровления детей</w:t>
      </w:r>
      <w:r/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0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41"/>
        <w:gridCol w:w="31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№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1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Наименование показателя для расчета суммы </w:t>
            </w:r>
            <w:r/>
          </w:p>
          <w:p>
            <w:pPr>
              <w:pStyle w:val="987"/>
              <w:ind w:firstLine="0"/>
              <w:jc w:val="center"/>
            </w:pPr>
            <w:r>
              <w:t xml:space="preserve">субсидий на иные цели*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Показатель для расчета суммы субсидий на иные цели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1" w:type="dxa"/>
            <w:textDirection w:val="lrTb"/>
            <w:noWrap w:val="false"/>
          </w:tcPr>
          <w:p>
            <w:pPr>
              <w:pStyle w:val="987"/>
              <w:ind w:firstLine="0"/>
            </w:pPr>
            <w:r>
              <w:t xml:space="preserve">Количество детей в лагерях дневного пребывания (чел.)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87"/>
              <w:ind w:firstLine="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1" w:type="dxa"/>
            <w:textDirection w:val="lrTb"/>
            <w:noWrap w:val="false"/>
          </w:tcPr>
          <w:p>
            <w:pPr>
              <w:pStyle w:val="987"/>
              <w:ind w:firstLine="0"/>
            </w:pPr>
            <w:r>
              <w:t xml:space="preserve">Расчетная стоимость питания в лагерях с дневным пребыванием (руб.)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87"/>
              <w:ind w:firstLine="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1" w:type="dxa"/>
            <w:textDirection w:val="lrTb"/>
            <w:noWrap w:val="false"/>
          </w:tcPr>
          <w:p>
            <w:pPr>
              <w:pStyle w:val="987"/>
              <w:ind w:firstLine="0"/>
            </w:pPr>
            <w:r>
              <w:t xml:space="preserve">Продолжительность смены (дни)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87"/>
              <w:ind w:firstLine="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87"/>
              <w:ind w:firstLine="0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1" w:type="dxa"/>
            <w:textDirection w:val="lrTb"/>
            <w:noWrap w:val="false"/>
          </w:tcPr>
          <w:p>
            <w:pPr>
              <w:pStyle w:val="987"/>
              <w:ind w:firstLine="0"/>
            </w:pPr>
            <w:r>
              <w:t xml:space="preserve">Сумма субсидий на иные цели (руб.) (строка 1 x строка 2 x строка 3)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987"/>
              <w:ind w:firstLine="0"/>
            </w:pPr>
            <w:r/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</w:t>
      </w:r>
      <w:r>
        <w:rPr>
          <w:sz w:val="28"/>
          <w:szCs w:val="28"/>
        </w:rPr>
        <w:t xml:space="preserve">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</w:t>
      </w:r>
      <w:r>
        <w:rPr>
          <w:sz w:val="28"/>
          <w:szCs w:val="28"/>
        </w:rPr>
        <w:t xml:space="preserve">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учреждения: 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(подпись, 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________________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(дата заполнения)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2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jc w:val="center"/>
    </w:pPr>
    <w:r/>
    <w:r/>
  </w:p>
  <w:p>
    <w:pPr>
      <w:pStyle w:val="8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>
    <w:name w:val="Plain Table 1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75" w:default="1">
    <w:name w:val="Normal"/>
    <w:qFormat/>
    <w:rPr>
      <w:lang w:eastAsia="ru-RU"/>
    </w:rPr>
  </w:style>
  <w:style w:type="paragraph" w:styleId="776">
    <w:name w:val="Heading 1"/>
    <w:basedOn w:val="775"/>
    <w:next w:val="775"/>
    <w:link w:val="971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77">
    <w:name w:val="Heading 2"/>
    <w:basedOn w:val="775"/>
    <w:next w:val="775"/>
    <w:link w:val="972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78">
    <w:name w:val="Heading 3"/>
    <w:basedOn w:val="775"/>
    <w:next w:val="775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9">
    <w:name w:val="Heading 4"/>
    <w:basedOn w:val="775"/>
    <w:next w:val="775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775"/>
    <w:next w:val="775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775"/>
    <w:next w:val="775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775"/>
    <w:next w:val="775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775"/>
    <w:next w:val="775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775"/>
    <w:next w:val="775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Caption Char"/>
    <w:uiPriority w:val="99"/>
  </w:style>
  <w:style w:type="character" w:styleId="789" w:customStyle="1">
    <w:name w:val="Heading 3 Char"/>
    <w:basedOn w:val="785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Heading 4 Char"/>
    <w:basedOn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Heading 6 Char"/>
    <w:basedOn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Heading 8 Char"/>
    <w:basedOn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6" w:customStyle="1">
    <w:name w:val="Title Char"/>
    <w:basedOn w:val="785"/>
    <w:uiPriority w:val="10"/>
    <w:rPr>
      <w:sz w:val="48"/>
      <w:szCs w:val="48"/>
    </w:rPr>
  </w:style>
  <w:style w:type="character" w:styleId="797" w:customStyle="1">
    <w:name w:val="Subtitle Char"/>
    <w:basedOn w:val="785"/>
    <w:uiPriority w:val="11"/>
    <w:rPr>
      <w:sz w:val="24"/>
      <w:szCs w:val="24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Footnote Text Char"/>
    <w:uiPriority w:val="99"/>
    <w:rPr>
      <w:sz w:val="18"/>
    </w:rPr>
  </w:style>
  <w:style w:type="character" w:styleId="801" w:customStyle="1">
    <w:name w:val="Endnote Text Char"/>
    <w:uiPriority w:val="99"/>
    <w:rPr>
      <w:sz w:val="20"/>
    </w:rPr>
  </w:style>
  <w:style w:type="character" w:styleId="80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Heading 2 Char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link w:val="778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link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Заголовок 5 Знак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link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link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List Paragraph"/>
    <w:basedOn w:val="775"/>
    <w:uiPriority w:val="34"/>
    <w:qFormat/>
    <w:pPr>
      <w:contextualSpacing/>
      <w:ind w:left="720"/>
    </w:pPr>
  </w:style>
  <w:style w:type="paragraph" w:styleId="812">
    <w:name w:val="No Spacing"/>
    <w:uiPriority w:val="1"/>
    <w:qFormat/>
  </w:style>
  <w:style w:type="paragraph" w:styleId="813">
    <w:name w:val="Title"/>
    <w:basedOn w:val="775"/>
    <w:next w:val="775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4" w:customStyle="1">
    <w:name w:val="Название Знак"/>
    <w:link w:val="813"/>
    <w:uiPriority w:val="10"/>
    <w:rPr>
      <w:sz w:val="48"/>
      <w:szCs w:val="48"/>
    </w:rPr>
  </w:style>
  <w:style w:type="paragraph" w:styleId="815">
    <w:name w:val="Subtitle"/>
    <w:basedOn w:val="775"/>
    <w:next w:val="775"/>
    <w:link w:val="816"/>
    <w:uiPriority w:val="11"/>
    <w:qFormat/>
    <w:pPr>
      <w:spacing w:before="200" w:after="200"/>
    </w:pPr>
    <w:rPr>
      <w:sz w:val="24"/>
      <w:szCs w:val="24"/>
    </w:rPr>
  </w:style>
  <w:style w:type="character" w:styleId="816" w:customStyle="1">
    <w:name w:val="Подзаголовок Знак"/>
    <w:link w:val="815"/>
    <w:uiPriority w:val="11"/>
    <w:rPr>
      <w:sz w:val="24"/>
      <w:szCs w:val="24"/>
    </w:rPr>
  </w:style>
  <w:style w:type="paragraph" w:styleId="817">
    <w:name w:val="Quote"/>
    <w:basedOn w:val="775"/>
    <w:next w:val="775"/>
    <w:link w:val="818"/>
    <w:uiPriority w:val="29"/>
    <w:qFormat/>
    <w:pPr>
      <w:ind w:left="720" w:right="720"/>
    </w:pPr>
    <w:rPr>
      <w:i/>
    </w:rPr>
  </w:style>
  <w:style w:type="character" w:styleId="818" w:customStyle="1">
    <w:name w:val="Цитата 2 Знак"/>
    <w:link w:val="817"/>
    <w:uiPriority w:val="29"/>
    <w:rPr>
      <w:i/>
    </w:rPr>
  </w:style>
  <w:style w:type="paragraph" w:styleId="819">
    <w:name w:val="Intense Quote"/>
    <w:basedOn w:val="775"/>
    <w:next w:val="775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 w:customStyle="1">
    <w:name w:val="Выделенная цитата Знак"/>
    <w:link w:val="819"/>
    <w:uiPriority w:val="30"/>
    <w:rPr>
      <w:i/>
    </w:rPr>
  </w:style>
  <w:style w:type="paragraph" w:styleId="821">
    <w:name w:val="Header"/>
    <w:basedOn w:val="775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22" w:customStyle="1">
    <w:name w:val="Header Char"/>
    <w:uiPriority w:val="99"/>
  </w:style>
  <w:style w:type="paragraph" w:styleId="823">
    <w:name w:val="Footer"/>
    <w:basedOn w:val="775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Footer Char"/>
    <w:uiPriority w:val="99"/>
  </w:style>
  <w:style w:type="paragraph" w:styleId="825">
    <w:name w:val="Caption"/>
    <w:basedOn w:val="775"/>
    <w:next w:val="775"/>
    <w:link w:val="82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6" w:customStyle="1">
    <w:name w:val="Название объекта Знак"/>
    <w:link w:val="825"/>
    <w:uiPriority w:val="99"/>
  </w:style>
  <w:style w:type="table" w:styleId="8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3">
    <w:name w:val="Hyperlink"/>
    <w:uiPriority w:val="99"/>
    <w:unhideWhenUsed/>
    <w:rPr>
      <w:color w:val="0000ff"/>
      <w:u w:val="single"/>
    </w:rPr>
  </w:style>
  <w:style w:type="paragraph" w:styleId="954">
    <w:name w:val="footnote text"/>
    <w:basedOn w:val="775"/>
    <w:link w:val="955"/>
    <w:uiPriority w:val="99"/>
    <w:semiHidden/>
    <w:unhideWhenUsed/>
    <w:pPr>
      <w:spacing w:after="40"/>
    </w:pPr>
    <w:rPr>
      <w:sz w:val="18"/>
    </w:rPr>
  </w:style>
  <w:style w:type="character" w:styleId="955" w:customStyle="1">
    <w:name w:val="Текст сноски Знак"/>
    <w:link w:val="954"/>
    <w:uiPriority w:val="99"/>
    <w:rPr>
      <w:sz w:val="18"/>
    </w:rPr>
  </w:style>
  <w:style w:type="character" w:styleId="956">
    <w:name w:val="footnote reference"/>
    <w:uiPriority w:val="99"/>
    <w:unhideWhenUsed/>
    <w:rPr>
      <w:vertAlign w:val="superscript"/>
    </w:rPr>
  </w:style>
  <w:style w:type="paragraph" w:styleId="957">
    <w:name w:val="endnote text"/>
    <w:basedOn w:val="775"/>
    <w:link w:val="958"/>
    <w:uiPriority w:val="99"/>
    <w:semiHidden/>
    <w:unhideWhenUsed/>
  </w:style>
  <w:style w:type="character" w:styleId="958" w:customStyle="1">
    <w:name w:val="Текст концевой сноски Знак"/>
    <w:link w:val="957"/>
    <w:uiPriority w:val="99"/>
    <w:rPr>
      <w:sz w:val="20"/>
    </w:rPr>
  </w:style>
  <w:style w:type="character" w:styleId="959">
    <w:name w:val="endnote reference"/>
    <w:uiPriority w:val="99"/>
    <w:semiHidden/>
    <w:unhideWhenUsed/>
    <w:rPr>
      <w:vertAlign w:val="superscript"/>
    </w:rPr>
  </w:style>
  <w:style w:type="paragraph" w:styleId="960">
    <w:name w:val="toc 1"/>
    <w:basedOn w:val="775"/>
    <w:next w:val="775"/>
    <w:uiPriority w:val="39"/>
    <w:unhideWhenUsed/>
    <w:pPr>
      <w:spacing w:after="57"/>
    </w:pPr>
  </w:style>
  <w:style w:type="paragraph" w:styleId="961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2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3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4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5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6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7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8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9">
    <w:name w:val="TOC Heading"/>
    <w:uiPriority w:val="39"/>
    <w:unhideWhenUsed/>
  </w:style>
  <w:style w:type="paragraph" w:styleId="970">
    <w:name w:val="table of figures"/>
    <w:basedOn w:val="775"/>
    <w:next w:val="775"/>
    <w:uiPriority w:val="99"/>
    <w:unhideWhenUsed/>
  </w:style>
  <w:style w:type="character" w:styleId="971" w:customStyle="1">
    <w:name w:val="Заголовок 1 Знак"/>
    <w:link w:val="776"/>
    <w:rPr>
      <w:sz w:val="24"/>
    </w:rPr>
  </w:style>
  <w:style w:type="character" w:styleId="972" w:customStyle="1">
    <w:name w:val="Заголовок 2 Знак"/>
    <w:link w:val="777"/>
    <w:rPr>
      <w:sz w:val="24"/>
    </w:rPr>
  </w:style>
  <w:style w:type="paragraph" w:styleId="973">
    <w:name w:val="Body Text"/>
    <w:basedOn w:val="775"/>
    <w:link w:val="974"/>
    <w:pPr>
      <w:ind w:right="3117"/>
    </w:pPr>
    <w:rPr>
      <w:rFonts w:ascii="Courier New" w:hAnsi="Courier New"/>
      <w:sz w:val="26"/>
      <w:lang w:val="en-US" w:eastAsia="en-US"/>
    </w:rPr>
  </w:style>
  <w:style w:type="character" w:styleId="974" w:customStyle="1">
    <w:name w:val="Основной текст Знак"/>
    <w:link w:val="973"/>
    <w:rPr>
      <w:rFonts w:ascii="Courier New" w:hAnsi="Courier New"/>
      <w:sz w:val="26"/>
    </w:rPr>
  </w:style>
  <w:style w:type="paragraph" w:styleId="975">
    <w:name w:val="Body Text Indent"/>
    <w:basedOn w:val="775"/>
    <w:link w:val="976"/>
    <w:pPr>
      <w:ind w:right="-1"/>
      <w:jc w:val="both"/>
    </w:pPr>
    <w:rPr>
      <w:sz w:val="26"/>
      <w:lang w:val="en-US" w:eastAsia="en-US"/>
    </w:rPr>
  </w:style>
  <w:style w:type="character" w:styleId="976" w:customStyle="1">
    <w:name w:val="Основной текст с отступом Знак"/>
    <w:link w:val="975"/>
    <w:rPr>
      <w:sz w:val="26"/>
    </w:rPr>
  </w:style>
  <w:style w:type="character" w:styleId="977" w:customStyle="1">
    <w:name w:val="Нижний колонтитул Знак"/>
    <w:basedOn w:val="785"/>
    <w:link w:val="823"/>
    <w:uiPriority w:val="99"/>
  </w:style>
  <w:style w:type="character" w:styleId="978">
    <w:name w:val="page number"/>
    <w:basedOn w:val="785"/>
  </w:style>
  <w:style w:type="character" w:styleId="979" w:customStyle="1">
    <w:name w:val="Верхний колонтитул Знак"/>
    <w:link w:val="821"/>
    <w:uiPriority w:val="99"/>
  </w:style>
  <w:style w:type="paragraph" w:styleId="980">
    <w:name w:val="Balloon Text"/>
    <w:basedOn w:val="775"/>
    <w:link w:val="981"/>
    <w:rPr>
      <w:rFonts w:ascii="Segoe UI" w:hAnsi="Segoe UI"/>
      <w:sz w:val="18"/>
      <w:szCs w:val="18"/>
      <w:lang w:val="en-US" w:eastAsia="en-US"/>
    </w:rPr>
  </w:style>
  <w:style w:type="character" w:styleId="981" w:customStyle="1">
    <w:name w:val="Текст выноски Знак"/>
    <w:link w:val="980"/>
    <w:rPr>
      <w:rFonts w:ascii="Segoe UI" w:hAnsi="Segoe UI" w:cs="Segoe UI"/>
      <w:sz w:val="18"/>
      <w:szCs w:val="18"/>
    </w:rPr>
  </w:style>
  <w:style w:type="paragraph" w:styleId="982" w:customStyle="1">
    <w:name w:val="Форма"/>
    <w:rPr>
      <w:sz w:val="28"/>
      <w:szCs w:val="28"/>
      <w:lang w:eastAsia="ru-RU"/>
    </w:rPr>
  </w:style>
  <w:style w:type="paragraph" w:styleId="98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84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85">
    <w:name w:val="Normal (Web)"/>
    <w:basedOn w:val="77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6" w:customStyle="1">
    <w:name w:val="Стиль1 Знак"/>
    <w:link w:val="987"/>
    <w:rPr>
      <w:sz w:val="28"/>
      <w:szCs w:val="28"/>
    </w:rPr>
  </w:style>
  <w:style w:type="paragraph" w:styleId="987" w:customStyle="1">
    <w:name w:val="Стиль1"/>
    <w:basedOn w:val="775"/>
    <w:link w:val="986"/>
    <w:qFormat/>
    <w:pPr>
      <w:ind w:firstLine="720"/>
      <w:jc w:val="both"/>
    </w:pPr>
    <w:rPr>
      <w:sz w:val="28"/>
      <w:szCs w:val="28"/>
      <w:lang w:eastAsia="zh-CN"/>
    </w:rPr>
  </w:style>
  <w:style w:type="paragraph" w:styleId="988" w:customStyle="1">
    <w:name w:val="Стиль2"/>
    <w:basedOn w:val="775"/>
    <w:link w:val="990"/>
    <w:qFormat/>
    <w:pPr>
      <w:contextualSpacing/>
      <w:ind w:firstLine="709"/>
      <w:jc w:val="both"/>
    </w:pPr>
    <w:rPr>
      <w:sz w:val="28"/>
      <w:szCs w:val="28"/>
    </w:rPr>
  </w:style>
  <w:style w:type="paragraph" w:styleId="989" w:customStyle="1">
    <w:name w:val="Стиль3"/>
    <w:basedOn w:val="775"/>
    <w:link w:val="991"/>
    <w:qFormat/>
    <w:pPr>
      <w:contextualSpacing/>
      <w:jc w:val="center"/>
      <w:spacing w:line="240" w:lineRule="exact"/>
      <w:widowControl w:val="off"/>
    </w:pPr>
    <w:rPr>
      <w:b/>
      <w:sz w:val="28"/>
      <w:szCs w:val="28"/>
    </w:rPr>
  </w:style>
  <w:style w:type="character" w:styleId="990" w:customStyle="1">
    <w:name w:val="Стиль2 Знак"/>
    <w:basedOn w:val="785"/>
    <w:link w:val="988"/>
    <w:rPr>
      <w:sz w:val="28"/>
      <w:szCs w:val="28"/>
      <w:lang w:eastAsia="ru-RU"/>
    </w:rPr>
  </w:style>
  <w:style w:type="character" w:styleId="991" w:customStyle="1">
    <w:name w:val="Стиль3 Знак"/>
    <w:basedOn w:val="785"/>
    <w:link w:val="989"/>
    <w:rPr>
      <w:b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58</cp:revision>
  <dcterms:created xsi:type="dcterms:W3CDTF">2025-05-07T04:42:00Z</dcterms:created>
  <dcterms:modified xsi:type="dcterms:W3CDTF">2025-06-16T05:32:35Z</dcterms:modified>
  <cp:version>1048576</cp:version>
</cp:coreProperties>
</file>