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-546810</wp:posOffset>
                </wp:positionV>
                <wp:extent cx="6285230" cy="1617103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229" cy="1617102"/>
                          <a:chOff x="0" y="0"/>
                          <a:chExt cx="6285229" cy="161710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229" cy="1617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9"/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9"/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9"/>
                                <w:jc w:val="center"/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9"/>
                                <w:jc w:val="center"/>
                                <w:spacing w:line="360" w:lineRule="exact"/>
                                <w:rPr>
                                  <w:rFonts w:ascii="Tempora LGC Uni" w:hAnsi="Tempora LGC Uni" w:eastAsia="Droid Sans Fallback" w:cs="Lohit Devanagari"/>
                                  <w:sz w:val="24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ascii="Tempora LGC Uni" w:hAnsi="Tempora LGC Uni" w:eastAsia="Droid Sans Fallback" w:cs="Lohit Devanagari"/>
                                  <w:sz w:val="24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 w:eastAsia="Droid Sans Fallback" w:cs="Lohit Devanagari"/>
                                  <w:sz w:val="24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 w:eastAsia="Droid Sans Fallback" w:cs="Lohit Devanagari"/>
                                  <w:sz w:val="24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85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186515"/>
                            <a:ext cx="1535429" cy="27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934" y="1188748"/>
                            <a:ext cx="1085214" cy="270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416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false;mso-position-horizontal-relative:text;margin-left:0.60pt;mso-position-horizontal:absolute;mso-position-vertical-relative:text;margin-top:-43.06pt;mso-position-vertical:absolute;width:494.90pt;height:127.33pt;mso-wrap-distance-left:0.00pt;mso-wrap-distance-top:0.00pt;mso-wrap-distance-right:0.00pt;mso-wrap-distance-bottom:0.00pt;" coordorigin="0,0" coordsize="62852,16171">
                <v:shape id="shape 1" o:spid="_x0000_s1" o:spt="202" type="#_x0000_t202" style="position:absolute;left:0;top:0;width:62852;height:16171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9"/>
                          <w:jc w:val="center"/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9"/>
                          <w:jc w:val="center"/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9"/>
                          <w:jc w:val="center"/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9"/>
                          <w:jc w:val="center"/>
                          <w:spacing w:line="360" w:lineRule="exact"/>
                          <w:rPr>
                            <w:rFonts w:ascii="Tempora LGC Uni" w:hAnsi="Tempora LGC Uni" w:eastAsia="Droid Sans Fallback" w:cs="Lohit Devanagari"/>
                            <w:sz w:val="24"/>
                            <w:szCs w:val="24"/>
                            <w:lang w:bidi="hi-IN"/>
                          </w:rPr>
                        </w:pPr>
                        <w:r>
                          <w:rPr>
                            <w:rFonts w:ascii="Tempora LGC Uni" w:hAnsi="Tempora LGC Uni" w:eastAsia="Droid Sans Fallback" w:cs="Lohit Devanagari"/>
                            <w:sz w:val="24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 w:eastAsia="Droid Sans Fallback" w:cs="Lohit Devanagari"/>
                            <w:sz w:val="24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 w:eastAsia="Droid Sans Fallback" w:cs="Lohit Devanagari"/>
                            <w:sz w:val="24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859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11865;width:15354;height:2708;v-text-anchor:middle;visibility:visible;" filled="f" stroked="f">
                  <v:textbox inset="0,0,0,0">
                    <w:txbxContent>
                      <w:p>
                        <w:pPr>
                          <w:jc w:val="lef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09;top:11887;width:10852;height:2708;v-text-anchor:middle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416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1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6400" cy="494665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33" t="-26" r="-33" b="-25"/>
                        <a:stretch/>
                      </pic:blipFill>
                      <pic:spPr bwMode="auto">
                        <a:xfrm>
                          <a:off x="0" y="0"/>
                          <a:ext cx="40640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false;mso-position-horizontal-relative:text;margin-left:232.35pt;mso-position-horizontal:absolute;mso-position-vertical-relative:text;margin-top:-43.10pt;mso-position-vertical:absolute;width:32.00pt;height:38.95pt;mso-wrap-distance-left:9.05pt;mso-wrap-distance-top:0.00pt;mso-wrap-distance-right:9.05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71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spacing w:line="240" w:lineRule="exact"/>
        <w:rPr>
          <w:b/>
          <w:bCs/>
        </w:rPr>
      </w:pPr>
      <w:r>
        <w:rPr>
          <w:b/>
        </w:rPr>
        <w:t xml:space="preserve">О реорганизации </w:t>
      </w:r>
      <w:r>
        <w:rPr>
          <w:b/>
        </w:rPr>
        <w:t xml:space="preserve">муниципального </w:t>
      </w:r>
      <w:r>
        <w:rPr>
          <w:b/>
          <w:bCs/>
        </w:rPr>
      </w:r>
      <w:r>
        <w:rPr>
          <w:b/>
          <w:bCs/>
        </w:rPr>
      </w:r>
    </w:p>
    <w:p>
      <w:pPr>
        <w:pStyle w:val="881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b/>
        </w:rPr>
        <w:t xml:space="preserve">автономного </w:t>
      </w:r>
      <w:r>
        <w:rPr>
          <w:b/>
        </w:rPr>
        <w:t xml:space="preserve">учреждения 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81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психолого-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81"/>
        <w:spacing w:line="240" w:lineRule="exact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» г.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881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b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муниципального казенного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81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учреждения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системы образования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81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Психолого-медико-педагогическая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81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комиссия»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г.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путем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присоединения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81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муниципального казенного учреждения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81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системы образования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Психолого-медико-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81"/>
        <w:spacing w:line="240" w:lineRule="exact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педагогическая комиссия»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г.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881"/>
        <w:spacing w:line="240" w:lineRule="exact"/>
        <w:rPr>
          <w:b/>
          <w:bCs/>
        </w:rPr>
      </w:pPr>
      <w:r>
        <w:rPr>
          <w:b/>
        </w:rPr>
        <w:t xml:space="preserve">к </w:t>
      </w:r>
      <w:r>
        <w:rPr>
          <w:b/>
        </w:rPr>
        <w:t xml:space="preserve">муниципальному автономно</w:t>
      </w:r>
      <w:r>
        <w:rPr>
          <w:b/>
        </w:rPr>
        <w:t xml:space="preserve">му </w:t>
      </w:r>
      <w:r>
        <w:rPr>
          <w:b/>
          <w:bCs/>
        </w:rPr>
      </w:r>
      <w:r>
        <w:rPr>
          <w:b/>
          <w:bCs/>
        </w:rPr>
      </w:r>
    </w:p>
    <w:p>
      <w:pPr>
        <w:pStyle w:val="881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b/>
        </w:rPr>
        <w:t xml:space="preserve">учреждению 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81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81"/>
        <w:spacing w:line="240" w:lineRule="exact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» г.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b/>
          <w:bCs/>
        </w:rPr>
      </w:r>
      <w:r>
        <w:rPr>
          <w:b/>
          <w:bCs/>
        </w:rPr>
      </w:r>
    </w:p>
    <w:p>
      <w:pPr>
        <w:pStyle w:val="881"/>
        <w:spacing w:line="240" w:lineRule="exact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57 Гражданского кодекса Российской Федерации, Уставом города Перми, постановлением администрации города Перми </w:t>
      </w:r>
      <w:r>
        <w:rPr>
          <w:sz w:val="28"/>
          <w:szCs w:val="28"/>
        </w:rPr>
        <w:t xml:space="preserve">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8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 xml:space="preserve">Реорганизовать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муниципальное казенное учреждени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 системы образования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Психолого-медико-педагогическая комиссия»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b w:val="0"/>
          <w:bCs w:val="0"/>
          <w:sz w:val="28"/>
          <w:szCs w:val="28"/>
        </w:rPr>
        <w:t xml:space="preserve"> путем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присоединения</w:t>
      </w:r>
      <w:r>
        <w:rPr>
          <w:b w:val="0"/>
          <w:bCs w:val="0"/>
          <w:sz w:val="28"/>
          <w:szCs w:val="28"/>
        </w:rPr>
        <w:t xml:space="preserve">  к </w:t>
      </w:r>
      <w:r>
        <w:rPr>
          <w:b w:val="0"/>
          <w:bCs w:val="0"/>
          <w:sz w:val="28"/>
          <w:szCs w:val="28"/>
        </w:rPr>
        <w:t xml:space="preserve">муниципальному автономно</w:t>
      </w:r>
      <w:r>
        <w:rPr>
          <w:b w:val="0"/>
          <w:bCs w:val="0"/>
          <w:sz w:val="28"/>
          <w:szCs w:val="28"/>
        </w:rPr>
        <w:t xml:space="preserve">му учреждению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 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Муниципальному автономному учреждению, созданному в процессе реорганизации, установить наименование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Муниципальное автономное </w:t>
      </w:r>
      <w:r>
        <w:rPr>
          <w:b w:val="0"/>
          <w:bCs w:val="0"/>
          <w:sz w:val="28"/>
          <w:szCs w:val="28"/>
        </w:rPr>
        <w:t xml:space="preserve">учреждение</w:t>
      </w:r>
      <w:r>
        <w:rPr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Сохранить основные цели деятельности реорганизуемых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муниципального казенного учреждени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 системы образования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Психолого-медико-педагогическая комиссия»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 </w:t>
      </w:r>
      <w:r>
        <w:rPr>
          <w:b w:val="0"/>
          <w:bCs w:val="0"/>
          <w:sz w:val="28"/>
          <w:szCs w:val="28"/>
        </w:rPr>
        <w:t xml:space="preserve">муниципального автономно</w:t>
      </w:r>
      <w:r>
        <w:rPr>
          <w:b w:val="0"/>
          <w:bCs w:val="0"/>
          <w:sz w:val="28"/>
          <w:szCs w:val="28"/>
        </w:rPr>
        <w:t xml:space="preserve">го учреждения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 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внесения изменений в устав муниципального автономного учреждения </w:t>
      </w:r>
      <w:r>
        <w:rPr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 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sz w:val="28"/>
          <w:szCs w:val="28"/>
        </w:rPr>
        <w:t xml:space="preserve">, созданного в процессе реорганизации.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Департаменту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администрации города Перми,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осуществляющему функции и полномочия учредителя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автономного учреждения </w:t>
      </w:r>
      <w:r>
        <w:rPr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 </w:t>
        <w:br/>
        <w:t xml:space="preserve">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rFonts w:ascii="Times New Roman" w:hAnsi="Times New Roman" w:cs="Times New Roman"/>
          <w:sz w:val="28"/>
          <w:szCs w:val="28"/>
        </w:rPr>
        <w:t xml:space="preserve">, в установленном порядке в соответствии с действующим законодательством Российской Федерации: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</w:t>
      </w:r>
      <w:r>
        <w:rPr>
          <w:sz w:val="28"/>
          <w:szCs w:val="28"/>
        </w:rPr>
        <w:t xml:space="preserve">рганизовать процедуру реорганизации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муниципального казенного учреждени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 системы образования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Психолого-медико-педагогическая комиссия»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b w:val="0"/>
          <w:bCs w:val="0"/>
          <w:sz w:val="28"/>
          <w:szCs w:val="28"/>
        </w:rPr>
        <w:t xml:space="preserve"> путем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присоединения</w:t>
      </w:r>
      <w:r>
        <w:rPr>
          <w:b w:val="0"/>
          <w:bCs w:val="0"/>
          <w:sz w:val="28"/>
          <w:szCs w:val="28"/>
        </w:rPr>
        <w:t xml:space="preserve"> к</w:t>
      </w:r>
      <w:r>
        <w:rPr>
          <w:b w:val="0"/>
          <w:bCs w:val="0"/>
          <w:sz w:val="28"/>
          <w:szCs w:val="28"/>
        </w:rPr>
        <w:t xml:space="preserve"> муниципальному автономно</w:t>
      </w:r>
      <w:r>
        <w:rPr>
          <w:b w:val="0"/>
          <w:bCs w:val="0"/>
          <w:sz w:val="28"/>
          <w:szCs w:val="28"/>
        </w:rPr>
        <w:t xml:space="preserve">му учреждению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 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6 месяцев со дня официального опубликования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</w:t>
      </w:r>
      <w:r>
        <w:rPr>
          <w:rFonts w:ascii="Times New Roman" w:hAnsi="Times New Roman" w:cs="Times New Roman"/>
          <w:sz w:val="28"/>
          <w:szCs w:val="28"/>
        </w:rPr>
        <w:t xml:space="preserve">твердить передаточный акт не позднее 30 календарных дней со дня официального опубликования настоящего постановления;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</w:t>
      </w:r>
      <w:r>
        <w:rPr>
          <w:rFonts w:ascii="Times New Roman" w:hAnsi="Times New Roman" w:cs="Times New Roman"/>
          <w:sz w:val="28"/>
          <w:szCs w:val="28"/>
        </w:rPr>
        <w:t xml:space="preserve">роизвести расходы, связанные с реорганизацией вышеуказанных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учреждений, в пределах средств, утвержденных в бюджете города Перми на 2025 год и плановый период 2026-2027 годов по отрасли «Образование», не позднее 6 месяцев со дня официального опубликования настоящего постановления;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у</w:t>
      </w:r>
      <w:r>
        <w:rPr>
          <w:rFonts w:ascii="Times New Roman" w:hAnsi="Times New Roman" w:cs="Times New Roman"/>
          <w:sz w:val="28"/>
          <w:szCs w:val="28"/>
        </w:rPr>
        <w:t xml:space="preserve">твердить перечни недвижимого, особо ценного движимого и иного имущества, передаваемого муниципальному автономному </w:t>
      </w:r>
      <w:r>
        <w:rPr>
          <w:rFonts w:ascii="Times New Roman" w:hAnsi="Times New Roman" w:cs="Times New Roman"/>
          <w:sz w:val="28"/>
          <w:szCs w:val="28"/>
        </w:rPr>
        <w:t xml:space="preserve">учреждению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» г. Перми,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имущественных отношени</w:t>
      </w:r>
      <w:r>
        <w:rPr>
          <w:rFonts w:ascii="Times New Roman" w:hAnsi="Times New Roman" w:cs="Times New Roman"/>
          <w:sz w:val="28"/>
          <w:szCs w:val="28"/>
        </w:rPr>
        <w:t xml:space="preserve">й администрации города Перми не </w:t>
      </w:r>
      <w:r>
        <w:rPr>
          <w:rFonts w:ascii="Times New Roman" w:hAnsi="Times New Roman" w:cs="Times New Roman"/>
          <w:sz w:val="28"/>
          <w:szCs w:val="28"/>
        </w:rPr>
        <w:t xml:space="preserve">позднее 3 месяцев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даты внесения изменений в Единый государственный реестр юридических лиц;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</w:t>
      </w:r>
      <w:r>
        <w:rPr>
          <w:rFonts w:ascii="Times New Roman" w:hAnsi="Times New Roman" w:cs="Times New Roman"/>
          <w:sz w:val="28"/>
          <w:szCs w:val="28"/>
        </w:rPr>
        <w:t xml:space="preserve">редусмотреть информирование жителей города Перми о процедуре реорганизации вышеуказанных муниципальных учреждений не позднее 30 календарных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официального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</w:t>
      </w:r>
      <w:r>
        <w:rPr>
          <w:rFonts w:ascii="Times New Roman" w:hAnsi="Times New Roman" w:cs="Times New Roman"/>
          <w:sz w:val="28"/>
          <w:szCs w:val="28"/>
        </w:rPr>
        <w:t xml:space="preserve">ровести адресную разъяснительную работу со всеми участниками  процесса деятельности муниципального автономного учреждения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» г. Перми не позднее 30 календарных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официального опубликования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</w:t>
      </w:r>
      <w:r>
        <w:rPr>
          <w:rFonts w:ascii="Times New Roman" w:hAnsi="Times New Roman" w:cs="Times New Roman"/>
          <w:sz w:val="28"/>
          <w:szCs w:val="28"/>
        </w:rPr>
        <w:t xml:space="preserve">одготовить, согласовать и ут</w:t>
      </w:r>
      <w:r>
        <w:rPr>
          <w:rFonts w:ascii="Times New Roman" w:hAnsi="Times New Roman" w:cs="Times New Roman"/>
          <w:sz w:val="28"/>
          <w:szCs w:val="28"/>
        </w:rPr>
        <w:t xml:space="preserve">вердить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изменения, вносимые в устав муниципального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» г. Перми, </w:t>
      </w:r>
      <w:r>
        <w:rPr>
          <w:rFonts w:ascii="Times New Roman" w:hAnsi="Times New Roman" w:cs="Times New Roman"/>
          <w:sz w:val="28"/>
          <w:szCs w:val="28"/>
        </w:rPr>
        <w:t xml:space="preserve">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месяцев с даты уведомления органа, осуществляющего регистрацию юридических лиц, о начале процедуры реорганизации путем присоединения муниципального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казенного учреждени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 системы образования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Психолого-медико-педагогическая комиссия»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п</w:t>
      </w:r>
      <w:r>
        <w:rPr>
          <w:rFonts w:ascii="Times New Roman" w:hAnsi="Times New Roman" w:cs="Times New Roman"/>
          <w:sz w:val="28"/>
          <w:szCs w:val="28"/>
        </w:rPr>
        <w:t xml:space="preserve">ровести иные юридическ</w:t>
      </w:r>
      <w:r>
        <w:rPr>
          <w:rFonts w:ascii="Times New Roman" w:hAnsi="Times New Roman" w:cs="Times New Roman"/>
          <w:sz w:val="28"/>
          <w:szCs w:val="28"/>
        </w:rPr>
        <w:t xml:space="preserve">и значимые действия, связанные </w:t>
      </w:r>
      <w:r>
        <w:rPr>
          <w:rFonts w:ascii="Times New Roman" w:hAnsi="Times New Roman" w:cs="Times New Roman"/>
          <w:sz w:val="28"/>
          <w:szCs w:val="28"/>
        </w:rPr>
        <w:t xml:space="preserve">с реорганизацией вышеуказанных муниципальных учреждений, не позднее 6 месяцев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официа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льного опубликования настоящего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Муниципальному автономному учреждению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» г. Перми в порядке и сроки, установленные действующим законодательством Российской Федерации: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</w:t>
      </w:r>
      <w:r>
        <w:rPr>
          <w:sz w:val="28"/>
          <w:szCs w:val="28"/>
        </w:rPr>
        <w:t xml:space="preserve">ообщить в орган, осуществляющий государственную регистрацию юридических лиц, о начале процедуры реорганизации путем присоединения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казенного учреждени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 системы образования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Психолого-медико-педагогическая комиссия»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автономному учреждению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» г. Перми </w:t>
      </w:r>
      <w:r>
        <w:rPr>
          <w:sz w:val="28"/>
          <w:szCs w:val="28"/>
        </w:rPr>
        <w:t xml:space="preserve">не позднее 3 рабочих дней со дня официального опубликования настоящего постановления;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</w:t>
      </w:r>
      <w:r>
        <w:rPr>
          <w:rFonts w:ascii="Times New Roman" w:hAnsi="Times New Roman" w:cs="Times New Roman"/>
          <w:sz w:val="28"/>
          <w:szCs w:val="28"/>
        </w:rPr>
        <w:t xml:space="preserve">азместить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публикующих данные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лиц, от имени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автономного учреждения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» г. Перми уведомление о реорганизации не позднее 3 календарных дней со дня внесения записи в Единый государственный реестр юридических лиц о начале процедуры реорганизации;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</w:t>
      </w:r>
      <w:r>
        <w:rPr>
          <w:rFonts w:ascii="Times New Roman" w:hAnsi="Times New Roman" w:cs="Times New Roman"/>
          <w:sz w:val="28"/>
          <w:szCs w:val="28"/>
        </w:rPr>
        <w:t xml:space="preserve">беспечить права и законные интересы участников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казенного учреждени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 системы образования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Психолого-медико-педагогическая комиссия»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автономного учреждения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» г. Перми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</w:t>
      </w:r>
      <w:r>
        <w:rPr>
          <w:rFonts w:ascii="Times New Roman" w:hAnsi="Times New Roman" w:cs="Times New Roman"/>
          <w:sz w:val="28"/>
          <w:szCs w:val="28"/>
        </w:rPr>
        <w:t xml:space="preserve">существлять действия</w:t>
      </w:r>
      <w:r>
        <w:rPr>
          <w:rFonts w:ascii="Times New Roman" w:hAnsi="Times New Roman" w:cs="Times New Roman"/>
          <w:sz w:val="28"/>
          <w:szCs w:val="28"/>
        </w:rPr>
        <w:t xml:space="preserve"> по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учредительных документов созданного в проц</w:t>
      </w:r>
      <w:r>
        <w:rPr>
          <w:rFonts w:ascii="Times New Roman" w:hAnsi="Times New Roman" w:cs="Times New Roman"/>
          <w:sz w:val="28"/>
          <w:szCs w:val="28"/>
        </w:rPr>
        <w:t xml:space="preserve">ессе реорганизации 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органе, осуществляющем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 xml:space="preserve">для внесения изменений в реестр муниципального имущества города Перми представить в департамент имущественных отношений администрации города Перми сведения из Единого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реестра юридических лиц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 реорганизации учреждения, копию устава учрежд</w:t>
      </w:r>
      <w:r>
        <w:rPr>
          <w:rFonts w:ascii="Times New Roman" w:hAnsi="Times New Roman" w:cs="Times New Roman"/>
          <w:sz w:val="28"/>
          <w:szCs w:val="28"/>
        </w:rPr>
        <w:t xml:space="preserve">ения не позднее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5 календарных дней с даты государственной регистрации, один экземпляр утвержденного передаточного акта, а также перечни недвижимого, особо ценного движимого и иного имущества, передаваемого на праве оперативного управлен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ципальному автономному учреждению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» г. Перми</w:t>
      </w:r>
      <w:r>
        <w:rPr>
          <w:rFonts w:ascii="Times New Roman" w:hAnsi="Times New Roman" w:cs="Times New Roman"/>
          <w:sz w:val="28"/>
          <w:szCs w:val="28"/>
        </w:rPr>
        <w:t xml:space="preserve">, не позднее 5 календарных дней с даты издания распоряжения начальника департамента образования администрации города Перми об утверждении указанных перечней;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н</w:t>
      </w:r>
      <w:r>
        <w:rPr>
          <w:rFonts w:ascii="Times New Roman" w:hAnsi="Times New Roman" w:cs="Times New Roman"/>
          <w:sz w:val="28"/>
          <w:szCs w:val="28"/>
        </w:rPr>
        <w:t xml:space="preserve">аправить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рган, осуществляющий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учет, государственную регистрацию прав, ведение Единого государственного реестра недвижимости, заявления о внесении изменений в сведения Единого государственного реестра недвижимости в отношении зарегистрированных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недвижимое имущество, находящееся в опе</w:t>
      </w:r>
      <w:r>
        <w:rPr>
          <w:rFonts w:ascii="Times New Roman" w:hAnsi="Times New Roman" w:cs="Times New Roman"/>
          <w:sz w:val="28"/>
          <w:szCs w:val="28"/>
        </w:rPr>
        <w:t xml:space="preserve">ративном управлении, в течение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14 календарных дней со дня государственной регистрации в Единый государственный реестр юридических лиц изменений в устав;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5.7.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в департамент имущественных отношений администрации города Перми выписки из Единого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ственного реестра недвижимости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 в течение 7 календарных дней со дня осуществления указанных изменений.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Департаменту имущественных отношений администрации города Перми: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з</w:t>
      </w:r>
      <w:r>
        <w:rPr>
          <w:rFonts w:ascii="Times New Roman" w:hAnsi="Times New Roman" w:cs="Times New Roman"/>
          <w:sz w:val="28"/>
          <w:szCs w:val="28"/>
        </w:rPr>
        <w:t xml:space="preserve">акрепить в установленном порядке за муниципальным автономным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психолого-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педагогической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медицинской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br/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» г.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недвижимое, особо ценное движимое и иное имущество согласно перечням недвижимого, особо ценного движимого и иного имущества, утвержденным распоряжением начальника департамента образования администрации города Перми,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позднее 2 месяцев после представления учреждениями в департамент имущественных отношений администрации города Перми копий устава учреждения, листа записи из документа о госуд</w:t>
      </w:r>
      <w:r>
        <w:rPr>
          <w:rFonts w:ascii="Times New Roman" w:hAnsi="Times New Roman" w:cs="Times New Roman"/>
          <w:bCs/>
          <w:sz w:val="28"/>
          <w:szCs w:val="28"/>
        </w:rPr>
        <w:t xml:space="preserve">арственной регистрации юридического лица в налоговом органе о внесении изменений в Единый государственный реестр юридических лиц и распоряжения начальника департамента образования администрации города Перми об утверждении перечней недвижимого, особо ценно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движимого и иного имущества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электронном и (или) бумажном носителях;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в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нести соответствующие сведения в реестр муниципального имущества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7. </w:t>
      </w:r>
      <w:r>
        <w:rPr>
          <w:rFonts w:eastAsia="Calibri"/>
          <w:sz w:val="28"/>
          <w:szCs w:val="22"/>
          <w:lang w:eastAsia="en-US"/>
        </w:rPr>
        <w:t xml:space="preserve">Настоящее постановление вступает в силу со дня</w:t>
      </w:r>
      <w:r>
        <w:rPr>
          <w:rFonts w:eastAsia="Calibri"/>
          <w:sz w:val="28"/>
          <w:szCs w:val="22"/>
          <w:lang w:eastAsia="en-US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eastAsia="Calibri"/>
          <w:sz w:val="28"/>
          <w:szCs w:val="22"/>
          <w:lang w:eastAsia="en-US"/>
        </w:rPr>
        <w:t xml:space="preserve">и</w:t>
      </w:r>
      <w:r>
        <w:rPr>
          <w:rFonts w:eastAsia="Calibri"/>
          <w:sz w:val="28"/>
          <w:szCs w:val="22"/>
          <w:lang w:eastAsia="en-US"/>
        </w:rPr>
        <w:t xml:space="preserve">ципального образования город Пермь».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9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8. Управлению по общим вопросам администрации города Перми обесп</w:t>
      </w:r>
      <w:r>
        <w:rPr>
          <w:rFonts w:eastAsia="Calibri"/>
          <w:sz w:val="28"/>
          <w:szCs w:val="22"/>
          <w:lang w:eastAsia="en-US"/>
        </w:rPr>
        <w:t xml:space="preserve">е</w:t>
      </w:r>
      <w:r>
        <w:rPr>
          <w:rFonts w:eastAsia="Calibri"/>
          <w:sz w:val="28"/>
          <w:szCs w:val="22"/>
          <w:lang w:eastAsia="en-US"/>
        </w:rPr>
        <w:t xml:space="preserve">чить обнародование настоящего постановления посредством официального опу</w:t>
      </w:r>
      <w:r>
        <w:rPr>
          <w:rFonts w:eastAsia="Calibri"/>
          <w:sz w:val="28"/>
          <w:szCs w:val="22"/>
          <w:lang w:eastAsia="en-US"/>
        </w:rPr>
        <w:t xml:space="preserve">б</w:t>
      </w:r>
      <w:r>
        <w:rPr>
          <w:rFonts w:eastAsia="Calibri"/>
          <w:sz w:val="28"/>
          <w:szCs w:val="22"/>
          <w:lang w:eastAsia="en-US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59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eastAsia="Calibri"/>
          <w:sz w:val="28"/>
          <w:szCs w:val="22"/>
          <w:lang w:eastAsia="en-US"/>
        </w:rPr>
        <w:t xml:space="preserve">и</w:t>
      </w:r>
      <w:r>
        <w:rPr>
          <w:rFonts w:eastAsia="Calibri"/>
          <w:sz w:val="28"/>
          <w:szCs w:val="22"/>
          <w:lang w:eastAsia="en-US"/>
        </w:rPr>
        <w:t xml:space="preserve">циального опубликования в сетевом издании «Официальный сайт муниципальн</w:t>
      </w:r>
      <w:r>
        <w:rPr>
          <w:rFonts w:eastAsia="Calibri"/>
          <w:sz w:val="28"/>
          <w:szCs w:val="22"/>
          <w:lang w:eastAsia="en-US"/>
        </w:rPr>
        <w:t xml:space="preserve">о</w:t>
      </w:r>
      <w:r>
        <w:rPr>
          <w:rFonts w:eastAsia="Calibri"/>
          <w:sz w:val="28"/>
          <w:szCs w:val="22"/>
          <w:lang w:eastAsia="en-US"/>
        </w:rPr>
        <w:t xml:space="preserve">го образования город Пермь </w:t>
      </w:r>
      <w:r>
        <w:fldChar w:fldCharType="begin"/>
      </w:r>
      <w:r>
        <w:instrText xml:space="preserve"> HYPERLINK ""</w:instrText>
      </w:r>
      <w:r>
        <w:fldChar w:fldCharType="separate"/>
      </w:r>
      <w:r>
        <w:rPr>
          <w:rFonts w:eastAsia="Calibri"/>
          <w:color w:val="000000"/>
          <w:sz w:val="28"/>
          <w:szCs w:val="22"/>
          <w:lang w:eastAsia="en-US"/>
        </w:rPr>
        <w:t xml:space="preserve">www.gorodperm.ru»</w:t>
      </w:r>
      <w:r>
        <w:fldChar w:fldCharType="end"/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Контроль за исполнением наст</w:t>
      </w:r>
      <w:r>
        <w:rPr>
          <w:rFonts w:ascii="Times New Roman" w:hAnsi="Times New Roman" w:cs="Times New Roman"/>
          <w:sz w:val="28"/>
          <w:szCs w:val="28"/>
        </w:rPr>
        <w:t xml:space="preserve">оящего постановления возложить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Перми Мальцеву Е.Д.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</w:t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 xml:space="preserve">       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Times New Roman">
    <w:panose1 w:val="02020603050405020304"/>
  </w:font>
  <w:font w:name="Calibri">
    <w:panose1 w:val="020F050202020403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9"/>
    <w:next w:val="859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9"/>
    <w:next w:val="859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9"/>
    <w:next w:val="859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next w:val="859"/>
    <w:link w:val="859"/>
    <w:qFormat/>
    <w:rPr>
      <w:lang w:val="ru-RU" w:eastAsia="zh-CN" w:bidi="ar-SA"/>
    </w:rPr>
  </w:style>
  <w:style w:type="paragraph" w:styleId="860">
    <w:name w:val="Заголовок 1"/>
    <w:basedOn w:val="859"/>
    <w:next w:val="859"/>
    <w:link w:val="859"/>
    <w:qFormat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61">
    <w:name w:val="Заголовок 2"/>
    <w:basedOn w:val="859"/>
    <w:next w:val="859"/>
    <w:link w:val="859"/>
    <w:qFormat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</w:rPr>
  </w:style>
  <w:style w:type="character" w:styleId="862">
    <w:name w:val="Основной шрифт абзаца"/>
    <w:next w:val="862"/>
    <w:link w:val="859"/>
    <w:uiPriority w:val="1"/>
    <w:semiHidden/>
    <w:unhideWhenUsed/>
  </w:style>
  <w:style w:type="table" w:styleId="863">
    <w:name w:val="Обычная таблица"/>
    <w:next w:val="863"/>
    <w:link w:val="859"/>
    <w:uiPriority w:val="99"/>
    <w:semiHidden/>
    <w:unhideWhenUsed/>
    <w:tblPr/>
  </w:style>
  <w:style w:type="numbering" w:styleId="864">
    <w:name w:val="Нет списка"/>
    <w:next w:val="864"/>
    <w:link w:val="859"/>
    <w:uiPriority w:val="99"/>
    <w:semiHidden/>
    <w:unhideWhenUsed/>
  </w:style>
  <w:style w:type="character" w:styleId="865">
    <w:name w:val="Основной шрифт абзаца1"/>
    <w:next w:val="865"/>
    <w:link w:val="859"/>
  </w:style>
  <w:style w:type="character" w:styleId="866">
    <w:name w:val="Номер страницы"/>
    <w:basedOn w:val="865"/>
    <w:next w:val="866"/>
    <w:link w:val="859"/>
  </w:style>
  <w:style w:type="character" w:styleId="867">
    <w:name w:val="Текст выноски Знак"/>
    <w:next w:val="867"/>
    <w:link w:val="859"/>
    <w:rPr>
      <w:rFonts w:ascii="Segoe UI" w:hAnsi="Segoe UI" w:cs="Segoe UI"/>
      <w:sz w:val="18"/>
      <w:szCs w:val="18"/>
    </w:rPr>
  </w:style>
  <w:style w:type="character" w:styleId="868">
    <w:name w:val="Верхний колонтитул Знак"/>
    <w:next w:val="868"/>
    <w:link w:val="859"/>
  </w:style>
  <w:style w:type="character" w:styleId="869">
    <w:name w:val="Гиперссылка"/>
    <w:next w:val="869"/>
    <w:link w:val="859"/>
    <w:rPr>
      <w:color w:val="0563c1"/>
      <w:u w:val="single"/>
    </w:rPr>
  </w:style>
  <w:style w:type="paragraph" w:styleId="870">
    <w:name w:val="Заголовок"/>
    <w:basedOn w:val="859"/>
    <w:next w:val="871"/>
    <w:link w:val="859"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71">
    <w:name w:val="Основной текст"/>
    <w:basedOn w:val="859"/>
    <w:next w:val="871"/>
    <w:link w:val="859"/>
    <w:pPr>
      <w:ind w:left="0" w:right="3117" w:firstLine="0"/>
    </w:pPr>
    <w:rPr>
      <w:rFonts w:ascii="Courier New" w:hAnsi="Courier New" w:cs="Courier New"/>
      <w:sz w:val="26"/>
    </w:rPr>
  </w:style>
  <w:style w:type="paragraph" w:styleId="872">
    <w:name w:val="Список"/>
    <w:basedOn w:val="871"/>
    <w:next w:val="872"/>
    <w:link w:val="859"/>
    <w:rPr>
      <w:rFonts w:cs="Lohit Devanagari"/>
    </w:rPr>
  </w:style>
  <w:style w:type="paragraph" w:styleId="873">
    <w:name w:val="Название объекта"/>
    <w:basedOn w:val="859"/>
    <w:next w:val="873"/>
    <w:link w:val="85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4">
    <w:name w:val="Указатель1"/>
    <w:basedOn w:val="859"/>
    <w:next w:val="874"/>
    <w:link w:val="859"/>
    <w:pPr>
      <w:suppressLineNumbers/>
    </w:pPr>
    <w:rPr>
      <w:rFonts w:cs="Lohit Devanagari"/>
    </w:rPr>
  </w:style>
  <w:style w:type="paragraph" w:styleId="875">
    <w:name w:val="Название объекта1"/>
    <w:basedOn w:val="859"/>
    <w:next w:val="859"/>
    <w:link w:val="859"/>
    <w:pPr>
      <w:jc w:val="center"/>
      <w:spacing w:line="360" w:lineRule="exact"/>
      <w:widowControl w:val="off"/>
    </w:pPr>
    <w:rPr>
      <w:b/>
      <w:sz w:val="32"/>
    </w:rPr>
  </w:style>
  <w:style w:type="paragraph" w:styleId="876">
    <w:name w:val="Основной текст с отступом"/>
    <w:basedOn w:val="859"/>
    <w:next w:val="876"/>
    <w:link w:val="859"/>
    <w:pPr>
      <w:ind w:left="0" w:right="-1" w:firstLine="0"/>
      <w:jc w:val="both"/>
    </w:pPr>
    <w:rPr>
      <w:sz w:val="26"/>
    </w:rPr>
  </w:style>
  <w:style w:type="paragraph" w:styleId="877">
    <w:name w:val="Колонтитул"/>
    <w:basedOn w:val="859"/>
    <w:next w:val="877"/>
    <w:link w:val="859"/>
    <w:pPr>
      <w:tabs>
        <w:tab w:val="center" w:pos="4819" w:leader="none"/>
        <w:tab w:val="right" w:pos="9638" w:leader="none"/>
      </w:tabs>
      <w:suppressLineNumbers/>
    </w:pPr>
  </w:style>
  <w:style w:type="paragraph" w:styleId="878">
    <w:name w:val="Нижний колонтитул"/>
    <w:basedOn w:val="859"/>
    <w:next w:val="878"/>
    <w:link w:val="859"/>
    <w:pPr>
      <w:tabs>
        <w:tab w:val="center" w:pos="4153" w:leader="none"/>
        <w:tab w:val="right" w:pos="8306" w:leader="none"/>
      </w:tabs>
    </w:pPr>
  </w:style>
  <w:style w:type="paragraph" w:styleId="879">
    <w:name w:val="Верхний колонтитул"/>
    <w:basedOn w:val="859"/>
    <w:next w:val="879"/>
    <w:link w:val="859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59"/>
    <w:next w:val="880"/>
    <w:link w:val="859"/>
    <w:rPr>
      <w:rFonts w:ascii="Segoe UI" w:hAnsi="Segoe UI" w:cs="Segoe UI"/>
      <w:sz w:val="18"/>
      <w:szCs w:val="18"/>
      <w:lang w:val="en-US"/>
    </w:rPr>
  </w:style>
  <w:style w:type="paragraph" w:styleId="881">
    <w:name w:val="Форма"/>
    <w:next w:val="881"/>
    <w:link w:val="859"/>
    <w:rPr>
      <w:sz w:val="28"/>
      <w:szCs w:val="28"/>
      <w:lang w:val="ru-RU" w:eastAsia="zh-CN" w:bidi="ar-SA"/>
    </w:rPr>
  </w:style>
  <w:style w:type="paragraph" w:styleId="882">
    <w:name w:val="List Paragraph"/>
    <w:basedOn w:val="859"/>
    <w:next w:val="882"/>
    <w:link w:val="859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883">
    <w:name w:val="ConsPlusNonformat"/>
    <w:basedOn w:val="859"/>
    <w:next w:val="883"/>
    <w:link w:val="859"/>
    <w:rPr>
      <w:rFonts w:ascii="Courier New" w:hAnsi="Courier New" w:eastAsia="Calibri" w:cs="Courier New"/>
    </w:rPr>
  </w:style>
  <w:style w:type="paragraph" w:styleId="884">
    <w:name w:val="Абзац списка1"/>
    <w:basedOn w:val="859"/>
    <w:next w:val="884"/>
    <w:link w:val="859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885">
    <w:name w:val="Содержимое врезки"/>
    <w:basedOn w:val="859"/>
    <w:next w:val="885"/>
    <w:link w:val="859"/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2024-06-21T08:56:00Z</dcterms:created>
  <dcterms:modified xsi:type="dcterms:W3CDTF">2025-06-23T06:14:38Z</dcterms:modified>
  <cp:version>917504</cp:version>
</cp:coreProperties>
</file>