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2"/>
                                <w:jc w:val="center"/>
                                <w:spacing w:line="240" w:lineRule="auto"/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732"/>
                          <w:jc w:val="center"/>
                          <w:spacing w:line="240" w:lineRule="auto"/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2553970</wp:posOffset>
                </wp:positionV>
                <wp:extent cx="2915920" cy="1918970"/>
                <wp:effectExtent l="0" t="0" r="0" b="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15920" cy="191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в </w:t>
                            </w:r>
                            <w:r>
                              <w:t xml:space="preserve">Порядок </w:t>
                            </w:r>
                            <w:r>
                              <w:t xml:space="preserve">осуществления департаментом финансов администрации города Перми санкционирования операций со средствами участников казначейского сопровождения</w:t>
                            </w:r>
                            <w:r>
                              <w:t xml:space="preserve">, утвержденный </w:t>
                            </w:r>
                            <w:r>
                              <w:t xml:space="preserve">распоряжение</w:t>
                            </w:r>
                            <w:r>
                              <w:t xml:space="preserve">м</w:t>
                            </w:r>
                            <w:r>
                              <w:t xml:space="preserve"> начальника департамента финансов админист</w:t>
                            </w:r>
                            <w:r>
                              <w:t xml:space="preserve">рации города Перми от 30</w:t>
                            </w:r>
                            <w:r>
                              <w:t xml:space="preserve">.1</w:t>
                            </w:r>
                            <w:r>
                              <w:t xml:space="preserve">2</w:t>
                            </w:r>
                            <w:r>
                              <w:t xml:space="preserve">.20</w:t>
                            </w:r>
                            <w:r>
                              <w:t xml:space="preserve">21</w:t>
                            </w:r>
                            <w:r>
                              <w:t xml:space="preserve"> № </w:t>
                            </w:r>
                            <w:r>
                              <w:fldChar w:fldCharType="end"/>
                            </w:r>
                            <w:r>
                              <w:t xml:space="preserve">059-06-01.01-03-р-233</w:t>
                            </w:r>
                            <w:r/>
                          </w:p>
                          <w:p>
                            <w:pPr>
                              <w:pStyle w:val="87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0609663;o:allowoverlap:true;o:allowincell:true;mso-position-horizontal-relative:page;margin-left:73.70pt;mso-position-horizontal:absolute;mso-position-vertical-relative:page;margin-top:201.10pt;mso-position-vertical:absolute;width:229.60pt;height:151.10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892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</w:t>
                      </w:r>
                      <w:r>
                        <w:t xml:space="preserve">Порядок </w:t>
                      </w:r>
                      <w:r>
                        <w:t xml:space="preserve">осуществления департаментом финансов администрации города Перми санкционирования операций со средствами участников казначейского сопровождения</w:t>
                      </w:r>
                      <w:r>
                        <w:t xml:space="preserve">, утвержденный </w:t>
                      </w:r>
                      <w:r>
                        <w:t xml:space="preserve">распоряжение</w:t>
                      </w:r>
                      <w:r>
                        <w:t xml:space="preserve">м</w:t>
                      </w:r>
                      <w:r>
                        <w:t xml:space="preserve"> начальника департамента финансов админист</w:t>
                      </w:r>
                      <w:r>
                        <w:t xml:space="preserve">рации города Перми от 30</w:t>
                      </w:r>
                      <w:r>
                        <w:t xml:space="preserve">.1</w:t>
                      </w:r>
                      <w:r>
                        <w:t xml:space="preserve">2</w:t>
                      </w:r>
                      <w:r>
                        <w:t xml:space="preserve">.20</w:t>
                      </w:r>
                      <w:r>
                        <w:t xml:space="preserve">21</w:t>
                      </w:r>
                      <w:r>
                        <w:t xml:space="preserve"> № </w:t>
                      </w:r>
                      <w:r>
                        <w:fldChar w:fldCharType="end"/>
                      </w:r>
                      <w:r>
                        <w:t xml:space="preserve">059-06-01.01-03-р-233</w:t>
                      </w:r>
                      <w:r/>
                    </w:p>
                    <w:p>
                      <w:pPr>
                        <w:pStyle w:val="8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 xml:space="preserve">В целях актуализации правовой базы департамента финансов администрации города Перми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1.</w:t>
        <w:tab/>
        <w:t xml:space="preserve">Внести в Порядок </w:t>
      </w:r>
      <w:r>
        <w:rPr>
          <w:sz w:val="28"/>
          <w:szCs w:val="24"/>
        </w:rPr>
        <w:t xml:space="preserve">осуществления департаментом финансов администр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ции города Перми санкционирования операций со средствами участников казн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чейского сопровождения, утвержденный распоряжением начальника департаме</w:t>
      </w:r>
      <w:r>
        <w:rPr>
          <w:sz w:val="28"/>
          <w:szCs w:val="24"/>
        </w:rPr>
        <w:t xml:space="preserve">н</w:t>
      </w:r>
      <w:r>
        <w:rPr>
          <w:sz w:val="28"/>
          <w:szCs w:val="24"/>
        </w:rPr>
        <w:t xml:space="preserve">та финансов администрации города Перми от 30.12.2021 № 059-06-01.01-03-р-233 (в ред. </w:t>
      </w:r>
      <w:r>
        <w:rPr>
          <w:sz w:val="28"/>
          <w:szCs w:val="28"/>
        </w:rPr>
        <w:t xml:space="preserve">от 31.05.2022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059-06-01.01-03-р-141</w:t>
      </w:r>
      <w:r>
        <w:rPr>
          <w:sz w:val="28"/>
          <w:szCs w:val="24"/>
        </w:rPr>
        <w:t xml:space="preserve">) </w:t>
      </w:r>
      <w:r>
        <w:rPr>
          <w:sz w:val="28"/>
          <w:szCs w:val="24"/>
        </w:rPr>
        <w:t xml:space="preserve">следующие измен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ния</w:t>
      </w:r>
      <w:r>
        <w:rPr>
          <w:sz w:val="28"/>
          <w:szCs w:val="24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18"/>
        <w:numPr>
          <w:ilvl w:val="1"/>
          <w:numId w:val="2"/>
        </w:numPr>
        <w:ind w:left="0" w:right="0" w:firstLine="709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в пункте 1.1.: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</w:t>
        <w:tab/>
        <w:t xml:space="preserve">в абзаце первом слова «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, иных средств, определенных федеральными законами, решениями Правительства Российской Федерации в случаях,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предусмотренных </w:t>
      </w:r>
      <w:hyperlink r:id="rId13" w:tooltip="https://login.consultant.ru/link/?req=doc&amp;base=LAW&amp;n=465808&amp;dst=6779" w:history="1">
        <w:r>
          <w:rPr>
            <w:rFonts w:ascii="Times New Roman" w:hAnsi="Times New Roman" w:eastAsia="Times New Roman" w:cs="Times New Roman"/>
            <w:strike w:val="0"/>
            <w:color w:val="000000" w:themeColor="text1"/>
            <w:sz w:val="28"/>
            <w:szCs w:val="28"/>
            <w:highlight w:val="white"/>
          </w:rPr>
          <w:t xml:space="preserve">п</w:t>
        </w:r>
        <w:r>
          <w:rPr>
            <w:rFonts w:ascii="Times New Roman" w:hAnsi="Times New Roman" w:eastAsia="Times New Roman" w:cs="Times New Roman"/>
            <w:strike w:val="0"/>
            <w:color w:val="000000" w:themeColor="text1"/>
            <w:sz w:val="28"/>
            <w:szCs w:val="28"/>
            <w:highlight w:val="white"/>
          </w:rPr>
          <w:t xml:space="preserve">одпунктом 2 пункта 1 статьи 242.26</w:t>
        </w:r>
      </w:hyperlink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Бюджетного кодекса Российской Федерации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</w:t>
        <w:tab/>
        <w:t xml:space="preserve">абзац шестой признать утратившим силу;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1.2.</w:t>
        <w:tab/>
        <w:t xml:space="preserve">в пункте 1.2. слова «бюджетного мониторинга» заменить словами «казначейского мониторинга»;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trike w:val="0"/>
          <w:sz w:val="28"/>
          <w:szCs w:val="28"/>
          <w:highlight w:val="white"/>
        </w:rPr>
      </w:pPr>
      <w:r>
        <w:rPr>
          <w:sz w:val="28"/>
          <w:szCs w:val="28"/>
          <w:highlight w:val="none"/>
          <w14:ligatures w14:val="none"/>
        </w:rPr>
        <w:t xml:space="preserve">1.3.</w:t>
        <w:tab/>
        <w:t xml:space="preserve">в абзаце первом пункта 2 </w:t>
      </w:r>
      <w:r>
        <w:rPr>
          <w:sz w:val="28"/>
          <w:szCs w:val="28"/>
          <w:highlight w:val="none"/>
          <w14:ligatures w14:val="none"/>
        </w:rPr>
        <w:t xml:space="preserve">слова «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если Решениями предусмотрены требования об осуществлении казначейского сопровождения средств, предоставляемых на основании таких соглашений»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исключить;</w:t>
      </w:r>
      <w:r/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</w:p>
    <w:p>
      <w:pPr>
        <w:pStyle w:val="878"/>
        <w:ind w:firstLine="720"/>
        <w:jc w:val="both"/>
        <w:spacing w:line="360" w:lineRule="exact"/>
        <w:tabs>
          <w:tab w:val="left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.4.</w:t>
        <w:tab/>
        <w:t xml:space="preserve">пункт 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14:ligatures w14:val="none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«5. </w:t>
      </w:r>
      <w:r>
        <w:rPr>
          <w:sz w:val="28"/>
          <w:szCs w:val="28"/>
        </w:rPr>
        <w:t xml:space="preserve">Для санкционирования операций с целевыми средствами участник казначейского сопровождения формирует и представляет в управление казначейства </w:t>
      </w:r>
      <w:hyperlink w:tooltip="#P177" w:anchor="P177" w:history="1">
        <w:r>
          <w:rPr>
            <w:sz w:val="28"/>
            <w:szCs w:val="28"/>
          </w:rPr>
          <w:t xml:space="preserve">Сведения</w:t>
        </w:r>
      </w:hyperlink>
      <w:r>
        <w:rPr>
          <w:sz w:val="28"/>
          <w:szCs w:val="28"/>
        </w:rPr>
        <w:t xml:space="preserve"> об операциях с целевыми средствами </w:t>
      </w:r>
      <w:r>
        <w:rPr>
          <w:sz w:val="28"/>
          <w:szCs w:val="28"/>
        </w:rPr>
        <w:t xml:space="preserve">(далее - Сведения), </w:t>
      </w:r>
      <w:r>
        <w:rPr>
          <w:sz w:val="28"/>
          <w:szCs w:val="28"/>
        </w:rPr>
        <w:t xml:space="preserve">в которых указываются источники поступлений целевых средств, </w:t>
      </w:r>
      <w:hyperlink w:tooltip="#P472" w:anchor="P472" w:history="1">
        <w:r>
          <w:rPr>
            <w:sz w:val="28"/>
            <w:szCs w:val="28"/>
          </w:rPr>
          <w:t xml:space="preserve">направления</w:t>
        </w:r>
      </w:hyperlink>
      <w:r>
        <w:rPr>
          <w:sz w:val="28"/>
          <w:szCs w:val="28"/>
        </w:rPr>
        <w:t xml:space="preserve"> расходования целевых средств (далее - целевые расходы) </w:t>
      </w:r>
      <w:r>
        <w:rPr>
          <w:sz w:val="28"/>
          <w:szCs w:val="28"/>
        </w:rPr>
        <w:t xml:space="preserve">из справочников </w:t>
      </w:r>
      <w:r>
        <w:rPr>
          <w:sz w:val="28"/>
          <w:szCs w:val="28"/>
        </w:rPr>
        <w:t xml:space="preserve">подсистемы АЦК-</w:t>
      </w:r>
      <w:r>
        <w:rPr>
          <w:sz w:val="28"/>
          <w:szCs w:val="28"/>
        </w:rPr>
        <w:t xml:space="preserve">Web</w:t>
      </w:r>
      <w:r>
        <w:rPr>
          <w:sz w:val="28"/>
          <w:szCs w:val="28"/>
        </w:rPr>
        <w:t xml:space="preserve"> системы «Автоматизированный центр контроля» (далее - АЦК-</w:t>
      </w:r>
      <w:r>
        <w:rPr>
          <w:sz w:val="28"/>
          <w:szCs w:val="28"/>
        </w:rPr>
        <w:t xml:space="preserve">Web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обеспечивающие достижение результата предоставления субсидии (бюджетной инвестиции), соответствующие предмету </w:t>
      </w:r>
      <w:r>
        <w:rPr>
          <w:sz w:val="28"/>
          <w:szCs w:val="28"/>
        </w:rPr>
        <w:t xml:space="preserve">и условиям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контракта, контракта учреждения, контракта (договора).</w:t>
      </w:r>
      <w:r>
        <w:rPr>
          <w:sz w:val="28"/>
          <w:szCs w:val="28"/>
        </w:rPr>
        <w:t xml:space="preserve">»;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1.5.</w:t>
        <w:tab/>
        <w:t xml:space="preserve">дополнить пунктом 5.1.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5.1. В случае, если при исполнении муниципального контракта, </w:t>
      </w:r>
      <w:r>
        <w:rPr>
          <w:sz w:val="28"/>
          <w:szCs w:val="28"/>
        </w:rPr>
        <w:t xml:space="preserve">контракта учреждения,</w:t>
      </w:r>
      <w:r>
        <w:rPr>
          <w:sz w:val="28"/>
          <w:szCs w:val="28"/>
        </w:rPr>
        <w:t xml:space="preserve"> договора (соглашения), контракта (договора)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при совместном упоминании - документ, обосновывающий обязательство)</w:t>
      </w:r>
      <w:r>
        <w:rPr>
          <w:sz w:val="28"/>
          <w:szCs w:val="28"/>
        </w:rPr>
        <w:t xml:space="preserve"> устанавливаются п</w:t>
      </w:r>
      <w:r>
        <w:rPr>
          <w:sz w:val="28"/>
          <w:szCs w:val="28"/>
        </w:rPr>
        <w:t xml:space="preserve">оложения о казначейском сопровождении средств</w:t>
      </w:r>
      <w:r>
        <w:rPr>
          <w:sz w:val="28"/>
          <w:szCs w:val="28"/>
        </w:rPr>
        <w:t xml:space="preserve"> по документу, обосновывающему обязательство, при заключении которого средства не подлежали казначейскому сопровождению, участник казначейского сопровождения одновременно со Сведениями представляет в упра</w:t>
      </w:r>
      <w:r>
        <w:rPr>
          <w:sz w:val="28"/>
          <w:szCs w:val="28"/>
        </w:rPr>
        <w:t xml:space="preserve">вление казначейства информацию о суммах кассовых выплат (в том числе о суммах авансовых платежей), произведенных с даты заключения документа, обосновывающего обязательство, до даты открытия лицевого счета (раздела на лицевом счете) участника казначейского </w:t>
      </w:r>
      <w:r>
        <w:rPr>
          <w:sz w:val="28"/>
          <w:szCs w:val="28"/>
        </w:rPr>
        <w:t xml:space="preserve">сопровождения (рекомендуемый образец приведен в приложении № 7 к настоящему Порядку) с приложением копий документов, подтверждающих возникновение денежных обязательств.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1.6.</w:t>
        <w:tab/>
        <w:t xml:space="preserve">в пункте 6: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1.6.1.</w:t>
        <w:tab/>
        <w:t xml:space="preserve">абзац четвертый признать утратившим силу;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1.6.2.</w:t>
        <w:tab/>
        <w:t xml:space="preserve">абзац шестой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реорганизации (ликвидации) заказчика санкционирование расходов участника казначейского сопровождения, источником финансового обеспечения которых является неиспользованный остаток целевых средств по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документу, обосновывающему обязательство, </w:t>
      </w:r>
      <w:r>
        <w:rPr>
          <w:sz w:val="28"/>
          <w:szCs w:val="28"/>
          <w:highlight w:val="none"/>
        </w:rPr>
        <w:t xml:space="preserve">обязательства по которому исполнены в полном объеме, осуществляется в соответствии со Сведениями, ранее ут</w:t>
      </w:r>
      <w:r>
        <w:rPr>
          <w:sz w:val="28"/>
          <w:szCs w:val="28"/>
          <w:highlight w:val="none"/>
        </w:rPr>
        <w:t xml:space="preserve">вержденными реорганизованным (ликвидированным) заказчиком, а при отсутствии ранее утвержденных Сведений в соответствии со Сведениями, утвержденными правопреемником реорганизованного (ликвидированного) заказчика.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1.6.3.</w:t>
        <w:tab/>
        <w:t xml:space="preserve">в абзаце седьмом после слов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реорганизации</w:t>
      </w:r>
      <w:r>
        <w:rPr>
          <w:sz w:val="28"/>
          <w:szCs w:val="28"/>
          <w:highlight w:val="none"/>
        </w:rPr>
        <w:t xml:space="preserve">» дополнить словами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(ликвидации)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1.7.</w:t>
        <w:tab/>
        <w:t xml:space="preserve">абзац второй пункта 7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1.8.</w:t>
        <w:tab/>
        <w:t xml:space="preserve">пункт 9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9. Утвержденные в соответствии с положениями настоящего Порядка Сведения пре</w:t>
      </w:r>
      <w:r>
        <w:rPr>
          <w:sz w:val="28"/>
          <w:szCs w:val="28"/>
          <w:highlight w:val="none"/>
        </w:rPr>
        <w:t xml:space="preserve">дставляются участником казначейского сопровождения в управление казначейства.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trike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Показатели Сведений автоматически </w:t>
      </w:r>
      <w:r>
        <w:rPr>
          <w:sz w:val="28"/>
          <w:szCs w:val="28"/>
          <w:highlight w:val="none"/>
        </w:rPr>
        <w:t xml:space="preserve">отражаются</w:t>
      </w:r>
      <w:r>
        <w:rPr>
          <w:sz w:val="28"/>
          <w:szCs w:val="28"/>
          <w:highlight w:val="none"/>
        </w:rPr>
        <w:t xml:space="preserve"> на лицевом счете </w:t>
      </w:r>
      <w:r>
        <w:rPr>
          <w:sz w:val="28"/>
          <w:szCs w:val="28"/>
          <w:highlight w:val="none"/>
        </w:rPr>
        <w:t xml:space="preserve">участника казначейского сопровождения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trike/>
          <w:highlight w:val="none"/>
          <w14:ligatures w14:val="none"/>
        </w:rPr>
      </w:r>
      <w:r>
        <w:rPr>
          <w:strike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1.9.</w:t>
        <w:tab/>
      </w:r>
      <w:r>
        <w:rPr>
          <w:sz w:val="28"/>
          <w:szCs w:val="28"/>
          <w:highlight w:val="none"/>
        </w:rPr>
        <w:t xml:space="preserve">пункт 10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10. Участник казначейского сопровождения в целях санкционирования в соответствии с настоящим Порядком </w:t>
      </w:r>
      <w:r>
        <w:rPr>
          <w:sz w:val="28"/>
          <w:szCs w:val="28"/>
          <w:highlight w:val="none"/>
        </w:rPr>
        <w:t xml:space="preserve">целевых расходов представляет в управление казначейства </w:t>
      </w:r>
      <w:r>
        <w:rPr>
          <w:sz w:val="28"/>
          <w:szCs w:val="28"/>
          <w:highlight w:val="none"/>
        </w:rPr>
        <w:t xml:space="preserve">«Распоряжение о совершении казначейских платежей по ЛС УКС»</w:t>
      </w:r>
      <w:r>
        <w:rPr>
          <w:sz w:val="28"/>
          <w:szCs w:val="28"/>
          <w:highlight w:val="none"/>
        </w:rPr>
        <w:t xml:space="preserve"> (далее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Распоряжение</w:t>
      </w:r>
      <w:r>
        <w:rPr>
          <w:sz w:val="28"/>
          <w:szCs w:val="28"/>
          <w:highlight w:val="none"/>
        </w:rPr>
        <w:t xml:space="preserve">), </w:t>
      </w:r>
      <w:r>
        <w:rPr>
          <w:sz w:val="28"/>
          <w:szCs w:val="28"/>
          <w:highlight w:val="none"/>
        </w:rPr>
        <w:t xml:space="preserve">сформирован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электронном виде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АЦК-</w:t>
      </w:r>
      <w:r>
        <w:rPr>
          <w:sz w:val="28"/>
          <w:szCs w:val="28"/>
          <w:highlight w:val="none"/>
        </w:rPr>
        <w:t xml:space="preserve">Web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требованиями Центрального банка Российской Федерации, Федерального казначейства и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 случае отсутствия технической возможности подписать </w:t>
      </w:r>
      <w:r>
        <w:rPr>
          <w:sz w:val="28"/>
          <w:szCs w:val="28"/>
          <w:highlight w:val="none"/>
        </w:rPr>
        <w:t xml:space="preserve">Распоряжение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электронной подписью участник казначейского сопровождения имеет право представить </w:t>
      </w:r>
      <w:r>
        <w:rPr>
          <w:sz w:val="28"/>
          <w:szCs w:val="28"/>
          <w:highlight w:val="none"/>
        </w:rPr>
        <w:t xml:space="preserve">Распоряжение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бумажном носителе, </w:t>
      </w:r>
      <w:r>
        <w:rPr>
          <w:sz w:val="28"/>
          <w:szCs w:val="28"/>
          <w:highlight w:val="none"/>
        </w:rPr>
        <w:t xml:space="preserve">подписанн</w:t>
      </w:r>
      <w:r>
        <w:rPr>
          <w:sz w:val="28"/>
          <w:szCs w:val="28"/>
          <w:highlight w:val="none"/>
        </w:rPr>
        <w:t xml:space="preserve">ое</w:t>
      </w:r>
      <w:r>
        <w:rPr>
          <w:sz w:val="28"/>
          <w:szCs w:val="28"/>
          <w:highlight w:val="none"/>
        </w:rPr>
        <w:t xml:space="preserve"> в соответствии с карточкой образцов подписей и оттиска печати. В этом случае к </w:t>
      </w:r>
      <w:r>
        <w:rPr>
          <w:sz w:val="28"/>
          <w:szCs w:val="28"/>
          <w:highlight w:val="none"/>
        </w:rPr>
        <w:t xml:space="preserve">Распоряжению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прикрепляется файл, содержащий письмо о представлении </w:t>
      </w:r>
      <w:r>
        <w:rPr>
          <w:sz w:val="28"/>
          <w:szCs w:val="28"/>
          <w:highlight w:val="none"/>
        </w:rPr>
        <w:t xml:space="preserve">Распоряжения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управление казначейства на бумажном носителе с указанием причины отсутствия технической возможности.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1.10.</w:t>
        <w:tab/>
        <w:t xml:space="preserve">в пункте 11: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1.10.1.</w:t>
        <w:tab/>
        <w:t xml:space="preserve">слова «бюджетного мониторинга» заменить словами «казначейского мониторинга»;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1.10.2.</w:t>
        <w:tab/>
        <w:t xml:space="preserve">слово «Заявках» заменить словом «Распоряжениях»;</w:t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1.11.</w:t>
        <w:tab/>
        <w:t xml:space="preserve">в абзаце первом пункта 12 слово «бюджетного» заменить словом «казначейского»;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1.12.</w:t>
        <w:tab/>
      </w:r>
      <w:r>
        <w:rPr>
          <w:sz w:val="28"/>
          <w:szCs w:val="28"/>
          <w:highlight w:val="none"/>
        </w:rPr>
        <w:t xml:space="preserve">в пункте 15 слово «Заявки» заменить словом «Распоряжения»;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</w:t>
        <w:tab/>
        <w:t xml:space="preserve">в пункте 15.1.: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1.13.1.</w:t>
        <w:tab/>
        <w:t xml:space="preserve">в абзаце третьем слова «юридического лица»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участника казначейского сопровождения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1.13.2.</w:t>
        <w:tab/>
      </w:r>
      <w:r>
        <w:rPr>
          <w:sz w:val="28"/>
          <w:szCs w:val="28"/>
          <w:highlight w:val="none"/>
        </w:rPr>
        <w:t xml:space="preserve">абзац четвертый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  <w:t xml:space="preserve">оплаты фактически поставленных товаров, выполненных работ, оказанных услуг, источником финансового обеспечения которых являются целевые средства, в случае, </w:t>
      </w:r>
      <w:r>
        <w:rPr>
          <w:sz w:val="28"/>
          <w:szCs w:val="28"/>
          <w:highlight w:val="none"/>
        </w:rPr>
        <w:t xml:space="preserve">если </w:t>
      </w:r>
      <w:r>
        <w:rPr>
          <w:sz w:val="28"/>
          <w:szCs w:val="28"/>
          <w:highlight w:val="none"/>
        </w:rPr>
        <w:t xml:space="preserve">участник казначейского сопровождения</w:t>
      </w:r>
      <w:r>
        <w:rPr>
          <w:sz w:val="28"/>
          <w:szCs w:val="28"/>
          <w:highlight w:val="none"/>
        </w:rPr>
        <w:t xml:space="preserve"> не привлекает для поставки товаров, выполнения работ, оказания услуг иных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юридических лиц, индивидуальных предпринимателей, физических лиц – поставщиков товаров, работ, услуг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а также при условии представления до</w:t>
      </w:r>
      <w:r>
        <w:rPr>
          <w:sz w:val="28"/>
          <w:szCs w:val="28"/>
          <w:highlight w:val="none"/>
        </w:rPr>
        <w:t xml:space="preserve">кументов, подтверждающих факт поставки товаров, выполнения работ, оказания услуг и (или) иных документов, предусмотренных муниципальными контрактами, контрактами учреждений, договорами (соглашениями), контрактами (договорами) (далее - документы-основания);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1.13.3.</w:t>
        <w:tab/>
        <w:t xml:space="preserve">абзац восьмой признать утратившим силу;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1.14.</w:t>
        <w:tab/>
        <w:t xml:space="preserve">дополнить пунктом 15.1.1.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15.1.1. </w:t>
      </w:r>
      <w:r>
        <w:rPr>
          <w:sz w:val="28"/>
          <w:szCs w:val="28"/>
          <w:highlight w:val="none"/>
        </w:rPr>
        <w:t xml:space="preserve">на счета, открытые в банке юридическим лицам, заключившим с участником казначейского сопровождения контракты (договоры), за исключением оплаты обязательств участника казначейского сопровождения по контрактам (договорам), средства по которым не подлежат каз</w:t>
      </w:r>
      <w:r>
        <w:rPr>
          <w:sz w:val="28"/>
          <w:szCs w:val="28"/>
          <w:highlight w:val="none"/>
        </w:rPr>
        <w:t xml:space="preserve">начейскому сопровождению;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1.15.</w:t>
        <w:tab/>
        <w:t xml:space="preserve">в пункте 15.3. слова «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, за исключением случаев, установленных федеральными законами или нормативными правовыми актами Правительства Российской Федерации, </w:t>
      </w:r>
      <w:hyperlink r:id="rId14" w:tooltip="https://login.consultant.ru/link/?req=doc&amp;base=RLAW368&amp;n=185946" w:history="1">
        <w:r>
          <w:rPr>
            <w:rFonts w:ascii="Times New Roman" w:hAnsi="Times New Roman" w:eastAsia="Times New Roman" w:cs="Times New Roman"/>
            <w:strike w:val="0"/>
            <w:color w:val="000000" w:themeColor="text1"/>
            <w:sz w:val="28"/>
            <w:szCs w:val="28"/>
            <w:highlight w:val="white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Пермской городской Думы от 28 августа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2007 г. № 185 «Об утверждении Положения о бюджете и бюджетном процессе в городе Перми</w:t>
      </w:r>
      <w:r>
        <w:rPr>
          <w:sz w:val="28"/>
          <w:szCs w:val="28"/>
          <w:highlight w:val="none"/>
        </w:rPr>
        <w:t xml:space="preserve">»» исключить;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1.16.</w:t>
        <w:tab/>
      </w:r>
      <w:r>
        <w:rPr>
          <w:sz w:val="28"/>
          <w:szCs w:val="28"/>
          <w:highlight w:val="none"/>
        </w:rPr>
        <w:t xml:space="preserve">в пункте 16 слово «Заявок» заменить словом «Распоряжений»;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1.17.</w:t>
        <w:tab/>
        <w:t xml:space="preserve">пункт 17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17. Управление казначейства при санкционировании целевых расходов осуществляет проверку представленных участником казначейского сопровождения </w:t>
      </w:r>
      <w:r>
        <w:rPr>
          <w:sz w:val="28"/>
          <w:szCs w:val="28"/>
          <w:highlight w:val="none"/>
        </w:rPr>
        <w:t xml:space="preserve">Распоряжений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следующим направлениям: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подписей, соответствующих имеющимся образцам, представленным участником казначейского сопровождения для открытия соответствующего лицевого счета в соответствии с Порядком открытия лицевых счетов;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идентификатора муниципального контракта, контракта учреждения, договора (соглашения), указанного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идентификатору, указанному в документе, обосновывающем обязательство, документах-основаниях и Сведениях;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указанных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реквизитов (номер, дата) документа, обосновывающего обязательство, его реквизитам, указанным в Сведениях;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соответствие наименования, ИНН, КПП, банковских реквизитов получателя денежных средств, указанных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наименованию, ИНН, КПП, банковским реквизитам получателя денежных средств, указанным в документе, обосновывающем обязательство, и документах-основаниях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в случае представления участником казначейского сопровождения Распоряжения для перечисления средств за фактически поставленные товары, выполненные работы, оказанные услуги без привлечения иных юридических лиц или в случае возмещения</w:t>
      </w:r>
      <w:r>
        <w:rPr>
          <w:sz w:val="28"/>
          <w:szCs w:val="28"/>
          <w:highlight w:val="none"/>
        </w:rPr>
        <w:t xml:space="preserve"> произведенных участником казначейского сопровождения расходов (части расходов) на счета, открытые ему в банке, проверка на соответствие банковских реквизитов не осуществляется)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непревышение</w:t>
      </w:r>
      <w:r>
        <w:rPr>
          <w:sz w:val="28"/>
          <w:szCs w:val="28"/>
          <w:highlight w:val="none"/>
        </w:rPr>
        <w:t xml:space="preserve"> суммы, указанной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над суммой остатка средств по соответствующему коду направления расходования целевых средств, указанной в Сведениях, и суммой остатка средств на лицевом счете по соответствующему документу, обосновывающему обязательство;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наличие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оплату целевых расходов, связанных с поставкой товаров </w:t>
      </w:r>
      <w:r>
        <w:rPr>
          <w:sz w:val="28"/>
          <w:szCs w:val="28"/>
          <w:highlight w:val="none"/>
        </w:rPr>
        <w:t xml:space="preserve">(выполнением работ, оказанием услуг), реквизитов (тип, номер, дата) документа, обосновывающего обязательство, документов-оснований и их соответствие реквизитам документа, обосновывающего обязательство, документов-оснований, представленных вместе с </w:t>
      </w:r>
      <w:r>
        <w:rPr>
          <w:sz w:val="28"/>
          <w:szCs w:val="28"/>
          <w:highlight w:val="none"/>
        </w:rPr>
        <w:t xml:space="preserve">Распоряжением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управление казначейства в соответствии с </w:t>
      </w:r>
      <w:hyperlink w:tooltip="#P108" w:anchor="P108" w:history="1">
        <w:r>
          <w:rPr>
            <w:sz w:val="28"/>
            <w:szCs w:val="28"/>
            <w:highlight w:val="none"/>
          </w:rPr>
          <w:t xml:space="preserve">пунктом 16</w:t>
        </w:r>
      </w:hyperlink>
      <w:r>
        <w:rPr>
          <w:sz w:val="28"/>
          <w:szCs w:val="28"/>
          <w:highlight w:val="none"/>
        </w:rPr>
        <w:t xml:space="preserve"> настоящего Порядка;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содержания операции по расходам, связанным с поставкой товаров, выполнением работ, оказанием услуг, исходя из документа-основания, текстовому назначению платежа, указанному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предмету (результатам) и условиям документа, обосновывающего обязательство;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текстового назначения платежа, указанного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направлению расходования целевых средств;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наличие в Распоряжении реквизитов лицевого счета, открытого получателю целевых средств, в случае перечисления средств по контрактам (договорам), подлежащих казначейскому сопровождению;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периода, за который производится оплата (при наличии);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суммы налога на добавленную стоимость (при наличии);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наличие в Распоряжении иных реквизитов, предусмотренных к указанию законодательством Российской Федерации и иными нормативными правовыми актами Российской Федерации;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Документы-основания по оплате труда, начислениям на выплаты по оплате труда (за искл</w:t>
      </w:r>
      <w:r>
        <w:rPr>
          <w:sz w:val="28"/>
          <w:szCs w:val="28"/>
          <w:highlight w:val="none"/>
        </w:rPr>
        <w:t xml:space="preserve">ючением выплат персоналу в натуральной форме, возмещения персоналу дополнительных расходов, связанных с проживанием вне места постоянного жительства в служебных командировках), социальных пособий и компенсаций персоналу в денежной форме, не представляются.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1.18.</w:t>
        <w:tab/>
        <w:t xml:space="preserve">в пункте 18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"870"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1.19.</w:t>
        <w:tab/>
        <w:t xml:space="preserve">в пунктах 19, 20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слово «Заявка» в соответствующем числе и падеже заменить словом «Распоряжение» в соответствующем числе и падеже;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1.20.</w:t>
        <w:tab/>
        <w:t xml:space="preserve">приложения № 1,2 признать утратившими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1.21.</w:t>
        <w:tab/>
      </w:r>
      <w:r>
        <w:rPr>
          <w:sz w:val="28"/>
          <w:szCs w:val="28"/>
          <w:highlight w:val="none"/>
        </w:rPr>
        <w:t xml:space="preserve">дополнить</w:t>
      </w:r>
      <w:r>
        <w:rPr>
          <w:sz w:val="28"/>
          <w:szCs w:val="28"/>
          <w:highlight w:val="none"/>
        </w:rPr>
        <w:t xml:space="preserve"> приложением № 7 согласно </w:t>
      </w:r>
      <w:r>
        <w:rPr>
          <w:sz w:val="28"/>
          <w:szCs w:val="28"/>
          <w:highlight w:val="none"/>
        </w:rPr>
        <w:t xml:space="preserve">приложению </w:t>
      </w:r>
      <w:r>
        <w:rPr>
          <w:sz w:val="28"/>
          <w:szCs w:val="28"/>
          <w:highlight w:val="none"/>
        </w:rPr>
        <w:t xml:space="preserve">к настоящему распоряжению.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</w:t>
        <w:tab/>
      </w:r>
      <w:r>
        <w:rPr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</w:t>
      </w:r>
      <w:r>
        <w:rPr>
          <w:sz w:val="28"/>
          <w:szCs w:val="28"/>
        </w:rPr>
        <w:t xml:space="preserve">ия город 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  <w:tab/>
      </w:r>
      <w:r>
        <w:rPr>
          <w:sz w:val="28"/>
          <w:szCs w:val="28"/>
        </w:rPr>
        <w:t xml:space="preserve">Начальнику управления казначейства департамент</w:t>
      </w:r>
      <w:r>
        <w:rPr>
          <w:sz w:val="28"/>
          <w:szCs w:val="24"/>
        </w:rPr>
        <w:t xml:space="preserve">а финансов админ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страции города Перми Молчановой Н.П.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 настоящего распоряжения в управление по общим вопросам администрации города Перм</w:t>
      </w:r>
      <w:r>
        <w:rPr>
          <w:sz w:val="28"/>
          <w:szCs w:val="28"/>
        </w:rPr>
        <w:t xml:space="preserve">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</w:t>
      </w:r>
      <w:r>
        <w:rPr>
          <w:sz w:val="28"/>
          <w:szCs w:val="28"/>
        </w:rPr>
        <w:t xml:space="preserve">а Перми для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4"/>
        </w:rPr>
        <w:t xml:space="preserve">4.</w:t>
        <w:tab/>
      </w:r>
      <w:r>
        <w:rPr>
          <w:sz w:val="28"/>
          <w:szCs w:val="24"/>
          <w:highlight w:val="white"/>
        </w:rPr>
        <w:t xml:space="preserve">И.о.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ачальника управления по обеспечению деятельности департамента финансов администрации города П</w:t>
      </w:r>
      <w:r>
        <w:rPr>
          <w:sz w:val="28"/>
          <w:szCs w:val="28"/>
          <w:highlight w:val="white"/>
        </w:rPr>
        <w:t xml:space="preserve">ерми </w:t>
      </w:r>
      <w:r>
        <w:rPr>
          <w:sz w:val="28"/>
          <w:szCs w:val="28"/>
          <w:highlight w:val="white"/>
        </w:rPr>
        <w:t xml:space="preserve">Гостюшевой</w:t>
      </w:r>
      <w:r>
        <w:rPr>
          <w:sz w:val="28"/>
          <w:szCs w:val="28"/>
          <w:highlight w:val="white"/>
        </w:rPr>
        <w:t xml:space="preserve"> С.А. </w:t>
      </w:r>
      <w:r>
        <w:rPr>
          <w:sz w:val="28"/>
          <w:szCs w:val="28"/>
          <w:highlight w:val="white"/>
        </w:rPr>
        <w:t xml:space="preserve">об</w:t>
      </w:r>
      <w:r>
        <w:rPr>
          <w:sz w:val="28"/>
          <w:szCs w:val="28"/>
        </w:rPr>
        <w:t xml:space="preserve">еспечить размещение настоящего распоряжения на официальном сайте департамента финансов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8"/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</w:t>
        <w:tab/>
        <w:t xml:space="preserve">Контроль за исполнением настоящего распоряжения возложить на начальника управления казначейства департамента финансов администрации г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рода Перми Молчанову Н.П.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8"/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8"/>
        <w:ind w:firstLine="720"/>
        <w:jc w:val="both"/>
        <w:spacing w:line="36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8"/>
        <w:ind w:firstLine="720"/>
        <w:jc w:val="righ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В.С. Титяпкина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Приложение</w:t>
      </w: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к распоряжению начальника </w:t>
        <w:br/>
        <w:t xml:space="preserve">департамента финансов</w:t>
        <w:br/>
        <w:t xml:space="preserve">администрации города Перми</w:t>
        <w:br/>
        <w:t xml:space="preserve">от    №</w:t>
      </w: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0"/>
        <w:jc w:val="left"/>
        <w:spacing w:line="360" w:lineRule="exact"/>
        <w:rPr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Приложение 7</w:t>
      </w:r>
      <w:r>
        <w:rPr>
          <w:sz w:val="28"/>
          <w:szCs w:val="28"/>
          <w:highlight w:val="none"/>
        </w:rPr>
      </w:r>
      <w:r>
        <w:rPr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к Порядку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осуществления департаментом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финансов администрации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 санкционирования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операций со средствами участников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казначейского сопровождения,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утвержденному распоряжением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начальника департамента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финансов администрации</w:t>
      </w:r>
      <w:r>
        <w:rPr>
          <w:sz w:val="28"/>
          <w:szCs w:val="28"/>
          <w:highlight w:val="none"/>
          <w14:ligatures w14:val="none"/>
        </w:rPr>
        <w:t xml:space="preserve"> </w:t>
        <w:br/>
      </w: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(рекомендуемый образец)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ИНФОРМАЦИЯ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 суммах кассовых выплат (в т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ом числе о суммах авансовых платежей), произведенных с даты заключения муниципального контракта,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контракта учреждения,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договора (соглашения), контракта (договора) до даты откры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тия лицевого счета (раздела на лицевом счете) участника казначейского сопровождения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4"/>
        <w:jc w:val="center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Borders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85"/>
        <w:gridCol w:w="340"/>
        <w:gridCol w:w="2538"/>
        <w:gridCol w:w="340"/>
        <w:gridCol w:w="2300"/>
        <w:gridCol w:w="17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муниципальный контракт, контракт учреждения, договор (соглашение), контракт (договор)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38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Идентификатор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тип документа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 по муниципальному контракту,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контракту учреждения,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договору (соглашению), контракту (договору)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 средств, подлежащих казначейскому сопровождению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КПП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Лицевой счет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 исполнителя по  муниципальному контракту, контракту учреждения, контракту (договору), получателя средств по договору (соглашению) (плательщик)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Раздел на лицевом счете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Банковские реквизиты плательщика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Корреспондентский счет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Merge w:val="restart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 подразделения Банка России/кредитной организации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vAlign w:val="bottom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Расчетный счет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4"/>
        <w:ind w:firstLine="540"/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5"/>
        <w:gridCol w:w="701"/>
        <w:gridCol w:w="566"/>
        <w:gridCol w:w="710"/>
        <w:gridCol w:w="663"/>
        <w:gridCol w:w="749"/>
        <w:gridCol w:w="683"/>
        <w:gridCol w:w="1017"/>
        <w:gridCol w:w="684"/>
        <w:gridCol w:w="736"/>
        <w:gridCol w:w="823"/>
        <w:gridCol w:w="454"/>
        <w:gridCol w:w="1389"/>
      </w:tblGrid>
      <w:tr>
        <w:tblPrEx/>
        <w:trPr/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4"/>
            <w:tcW w:w="26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5"/>
            <w:tcW w:w="386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Получатель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3"/>
            <w:tcW w:w="26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Документ, подтверждающий возникновение денежного обязательства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1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назначение платежа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3"/>
            <w:tcW w:w="243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банковские реквизиты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 кредитной организации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расчетный счет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</w:tcBorders>
            <w:tcW w:w="1792" w:type="dxa"/>
            <w:textDirection w:val="lrTb"/>
            <w:noWrap w:val="false"/>
          </w:tcPr>
          <w:p>
            <w:pPr>
              <w:pStyle w:val="894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9"/>
            <w:tcBorders>
              <w:bottom w:val="none" w:color="000000" w:sz="4" w:space="0"/>
              <w:right w:val="non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4"/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1"/>
        <w:gridCol w:w="1619"/>
        <w:gridCol w:w="340"/>
        <w:gridCol w:w="1325"/>
        <w:gridCol w:w="340"/>
        <w:gridCol w:w="2180"/>
        <w:gridCol w:w="340"/>
        <w:gridCol w:w="19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(уполномоченное лицо)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vAlign w:val="bottom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(телефон)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"__" __________ 20__ г.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4"/>
        <w:ind w:firstLine="540"/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uiPriority w:val="1"/>
    <w:unhideWhenUsed/>
  </w:style>
  <w:style w:type="table" w:styleId="882">
    <w:name w:val="Обычная таблица"/>
    <w:next w:val="882"/>
    <w:link w:val="878"/>
    <w:uiPriority w:val="99"/>
    <w:semiHidden/>
    <w:unhideWhenUsed/>
    <w:tblPr/>
  </w:style>
  <w:style w:type="numbering" w:styleId="883">
    <w:name w:val="Нет списка"/>
    <w:next w:val="883"/>
    <w:link w:val="878"/>
    <w:uiPriority w:val="99"/>
    <w:semiHidden/>
    <w:unhideWhenUsed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78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5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paragraph" w:styleId="892">
    <w:name w:val="Заголовок к тексту"/>
    <w:basedOn w:val="878"/>
    <w:next w:val="885"/>
    <w:link w:val="878"/>
    <w:pPr>
      <w:spacing w:after="480" w:line="240" w:lineRule="exact"/>
    </w:pPr>
    <w:rPr>
      <w:b/>
      <w:sz w:val="28"/>
    </w:rPr>
  </w:style>
  <w:style w:type="paragraph" w:styleId="893">
    <w:name w:val="ConsPlusTitle"/>
    <w:next w:val="893"/>
    <w:link w:val="87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94">
    <w:name w:val="ConsPlusNormal"/>
    <w:next w:val="894"/>
    <w:link w:val="87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95">
    <w:name w:val="Верхний колонтитул Знак"/>
    <w:next w:val="895"/>
    <w:link w:val="889"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65808&amp;dst=6779" TargetMode="External"/><Relationship Id="rId14" Type="http://schemas.openxmlformats.org/officeDocument/2006/relationships/hyperlink" Target="https://login.consultant.ru/link/?req=doc&amp;base=RLAW368&amp;n=1859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terentyeva-vm</cp:lastModifiedBy>
  <cp:revision>134</cp:revision>
  <dcterms:created xsi:type="dcterms:W3CDTF">2019-03-18T11:19:00Z</dcterms:created>
  <dcterms:modified xsi:type="dcterms:W3CDTF">2025-06-18T05:24:45Z</dcterms:modified>
  <cp:version>917504</cp:version>
</cp:coreProperties>
</file>