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ул. 1905 года,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Смирнова, зданием</w:t>
      </w:r>
      <w: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1905 года, </w:t>
      </w:r>
      <w:r>
        <w:rPr>
          <w:b/>
          <w:bCs/>
          <w:sz w:val="28"/>
          <w:szCs w:val="28"/>
        </w:rPr>
        <w:t xml:space="preserve">35н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Мотовилихинском 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ии для размещения объектов, указанных в части 5 </w:t>
        <w:br/>
        <w:t xml:space="preserve">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</w:t>
      </w:r>
      <w:r>
        <w:rPr>
          <w:sz w:val="28"/>
          <w:szCs w:val="28"/>
        </w:rPr>
        <w:t xml:space="preserve">02 июня 2025 г. </w:t>
        <w:br/>
        <w:t xml:space="preserve">№ 31-02-1-4-1581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территории, ограниченной ул. 1905 года, ул. Смирнова, зданием</w:t>
      </w:r>
      <w:r>
        <w:t xml:space="preserve"> </w:t>
      </w:r>
      <w:r>
        <w:rPr>
          <w:sz w:val="28"/>
          <w:szCs w:val="28"/>
        </w:rPr>
        <w:t xml:space="preserve">по ул. 1905 года, 35н в Мотовилихинском районе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июня 2025 г. № 31-07-1-5исх-643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межевания территории</w:t>
      </w:r>
      <w:r>
        <w:rPr>
          <w:sz w:val="28"/>
          <w:szCs w:val="28"/>
        </w:rPr>
        <w:t xml:space="preserve">, ограниченной </w:t>
      </w:r>
      <w:r>
        <w:rPr>
          <w:sz w:val="28"/>
          <w:szCs w:val="28"/>
        </w:rPr>
        <w:br/>
        <w:t xml:space="preserve">ул. 1905 года, ул. Смирнова, зданием</w:t>
      </w:r>
      <w:r>
        <w:t xml:space="preserve"> </w:t>
      </w:r>
      <w:r>
        <w:rPr>
          <w:sz w:val="28"/>
          <w:szCs w:val="28"/>
        </w:rPr>
        <w:t xml:space="preserve">по ул. 1905 года, 35н в Мотовилихинском районе города Перми,</w:t>
      </w:r>
      <w:r>
        <w:rPr>
          <w:sz w:val="28"/>
          <w:szCs w:val="28"/>
        </w:rPr>
        <w:t xml:space="preserve"> от 23 мая 2025 г.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межевания территории, ограниченной ул. 1905 года, ул. Смирнова, зданием</w:t>
      </w:r>
      <w:r>
        <w:t xml:space="preserve"> </w:t>
        <w:br/>
      </w:r>
      <w:r>
        <w:rPr>
          <w:sz w:val="28"/>
          <w:szCs w:val="28"/>
        </w:rPr>
        <w:t xml:space="preserve">по ул. 1905 года, 35н в Мотовилихинском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11 июля 2025 г. </w:t>
      </w:r>
      <w:r>
        <w:rPr>
          <w:sz w:val="28"/>
          <w:szCs w:val="28"/>
        </w:rPr>
        <w:br/>
        <w:t xml:space="preserve">по 18 июля 2025 г.: понедельник-четверг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с 09.00 час. до 18.00 час.</w:t>
      </w:r>
      <w:r>
        <w:rPr>
          <w:sz w:val="28"/>
          <w:szCs w:val="28"/>
        </w:rPr>
        <w:t xml:space="preserve">, пятница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с 09.00 час. до 17.00 час.</w:t>
      </w:r>
      <w:r>
        <w:rPr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/>
        <w:t xml:space="preserve">14 июля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11 июля 2025 г. по 18 июля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18 июля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22</cp:revision>
  <dcterms:created xsi:type="dcterms:W3CDTF">2024-10-25T06:16:00Z</dcterms:created>
  <dcterms:modified xsi:type="dcterms:W3CDTF">2025-06-30T12:10:50Z</dcterms:modified>
</cp:coreProperties>
</file>