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230" cy="1759927"/>
                <wp:effectExtent l="0" t="0" r="127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759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0050" cy="495300"/>
                                      <wp:effectExtent l="0" t="0" r="0" b="0"/>
                                      <wp:docPr id="2" name="_x0000_i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49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50pt;height:39.00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5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17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;o:allowoverlap:true;o:allowincell:true;mso-position-horizontal-relative:text;margin-left:0.35pt;mso-position-horizontal:absolute;mso-position-vertical-relative:text;margin-top:-43.20pt;mso-position-vertical:absolute;width:494.90pt;height:138.58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91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0050" cy="495300"/>
                                <wp:effectExtent l="0" t="0" r="0" b="0"/>
                                <wp:docPr id="2" name="_x0000_i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50pt;height:39.00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05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17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09.12.2004 </w:t>
      </w:r>
      <w:r>
        <w:rPr>
          <w:rFonts w:ascii="Times New Roman" w:hAnsi="Times New Roman" w:cs="Times New Roman"/>
          <w:b/>
          <w:sz w:val="28"/>
          <w:szCs w:val="28"/>
        </w:rPr>
        <w:t xml:space="preserve">№ 3691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мерах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Пермской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Д</w:t>
      </w:r>
      <w:r>
        <w:rPr>
          <w:rFonts w:ascii="Times New Roman" w:hAnsi="Times New Roman" w:cs="Times New Roman"/>
          <w:b/>
          <w:sz w:val="28"/>
          <w:szCs w:val="28"/>
        </w:rPr>
        <w:t xml:space="preserve">умы от 23.09.2003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112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похоронного дела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6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кладбищ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федеральными законами от 12 января 1996 г. № 8-ФЗ </w:t>
        <w:br/>
        <w:t xml:space="preserve">«О погребении и похоронном деле»,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     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решением Пермской городской Думы от 23 сентября 2003 г. № 112 «Об утверждении Положения об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похоронного дела и порядке деятельности муниципальных кладбищ на территории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актуализации правовых актов города</w:t>
      </w:r>
      <w:r>
        <w:rPr>
          <w:sz w:val="28"/>
          <w:szCs w:val="28"/>
        </w:rPr>
        <w:t xml:space="preserve"> Перми </w:t>
      </w:r>
      <w:r>
        <w:rPr>
          <w:sz w:val="28"/>
          <w:szCs w:val="28"/>
        </w:rPr>
        <w:t xml:space="preserve">ад</w:t>
      </w:r>
      <w:r>
        <w:rPr>
          <w:sz w:val="28"/>
          <w:szCs w:val="28"/>
          <w:highlight w:val="white"/>
        </w:rPr>
        <w:t xml:space="preserve">министрация города Перми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ОСТАНОВЛЯЕТ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uppressLineNumbers w:val="0"/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в постановле</w:t>
      </w:r>
      <w:r>
        <w:rPr>
          <w:sz w:val="28"/>
          <w:szCs w:val="28"/>
          <w:highlight w:val="white"/>
        </w:rPr>
        <w:t xml:space="preserve">ние администрации города Перми от 09 декабря    2004 г. № 3691 «О мерах по реализации решения Пермской городской Думы                   от 23.09.2003 № 112 «Об утверждении Положения об организации похоронного дела и порядке деятельности муниципальных кладб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щ на территории города Перми» (в ред. от 25.08.2009 № 554, от 16.02.2010 № 62, от 23.06.2010 № 339, от 09.09.2010 № 539, от 02.02.2012 № 35, от 28.03.2013 № 198, от 23.11.2016 № 1043, от 04.05.2017 № 338, от 06.09.2017 № 688, от 26.05.2021 № 375) следующие</w:t>
      </w:r>
      <w:r>
        <w:rPr>
          <w:sz w:val="28"/>
          <w:szCs w:val="28"/>
          <w:highlight w:val="white"/>
        </w:rPr>
        <w:t xml:space="preserve"> изменения: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suppressLineNumbers w:val="0"/>
      </w:pPr>
      <w:r>
        <w:rPr>
          <w:sz w:val="28"/>
          <w:szCs w:val="28"/>
          <w:highlight w:val="white"/>
        </w:rPr>
        <w:t xml:space="preserve">в пункте 1 слова «Пермским муниципальным предприятием «Ритуальные услуги» заменить словами «муниципальным бюджетным учреждением «Ритуальные услуги» (далее – </w:t>
      </w:r>
      <w:r>
        <w:rPr>
          <w:sz w:val="28"/>
          <w:szCs w:val="28"/>
          <w:highlight w:val="white"/>
        </w:rPr>
        <w:t xml:space="preserve"> Специализированная служба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 </w:t>
      </w: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white"/>
        </w:rPr>
        <w:t xml:space="preserve">Утвердить прилагаемые Единые требования по организации и содержанию мест захоронений.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Внести в Общие требования по предоставлению гарантий осуществления погребения умерших и порядок работы муниципальных кладбищ в городе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Общие требования)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утвержденные постановлением администрации города Перми от 09 декабря 2004 г. № 3691 «О мерах по реализации решени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мской городской Думы от 23.09.2003 № 112 «Об утверждении Положения об организации похоронного дела и порядке деятельности муниципальных кладбищ на территории города Перми»  (в ред. от 25.08.2009 № 554, от 16.02.2010 № 62,    от 23.06.2010 № 339, от 09.09.2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010 № 539, от 02.02.2012 № 35, от 28.03.2013                  № 198, от 23.11.2016 № 1043, от 04.05.2017 № 338, от 06.09.2017 № 688,                 от 26.05.2021 № 375),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2.1. пункт 1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«1. Специализированная служба в соответствии с пунктом 2 статьи 25 Федерального закона от 12 января 1996 г. № 8-ФЗ «О погребении и похоронном деле» (далее - Закон № 8-ФЗ) осуществляет: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погребению, входящих в гарантированный перечень услуг по погребению согласно статье 9 Закона № 8-ФЗ;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умерших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погибших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), не имеющих супруга, близких родственников, иных родственников либо законного представителя умершего, согласно статье 12 Закона № 8-ФЗ;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оказание услуг по погребению (копка и засыпка могилы, опускание гроба (тела (останков), урн с прахом), формирование надмогильного холма, установка надмогильного сооружения с номером захоронения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местах погребения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иных услуг).»;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2.2. дополнить пунктом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Предоставление земельных участков для захоронения умерших на местах погребения города Перми, ведение учета захоронений и архива документов умерших (погибших), согласование работ по установке или замене надмогильных сооружений, содержание территории общ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го пользования мест погребения, содержание и ремонт элементов благоустройства мест погребения, выполнение предусмотренных настоящими Общими требованиями и Требованиями по организации и содержанию мест захоронений функций администрации кладбищ осуще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ствляет муниципальное казенное учреждение «Пермблагоустройство» (далее – Учреждение).»;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2.3. пункт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 Для погребения тела (останков) или праха умершего Учреждением бесплатно предоставляется участок земли на открытых для захоронений местах погребения города Перми.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Размеры предоставляемых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местах погребения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-  места захоронений):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одиночное место захоронения (могила) – 2,0 м х 1,0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место захоронения (могила) с учетом погребения в дальнейшем на этом участке земли супруга или близкого родственника умершего – 2,0 м х 2,0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2.3. место захоронения урны с прахом (нескольких урн) в специализированных кварталах – 1,0 м х 1,0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2.4. почетное или воинское место захоронения (с учетом погребения в дальнейшем на этом участке земли супруга или близкого родственника умершего) – 2,3 м х 2,2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2.5. расстояние между местами захоронений (могилами), включая их оградки: по длинным сторонам – 1,0 м, по коротким сторонам – 0,5 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2.6. глубина могил – не менее 1,5 м (от поверхности земли до крышки гроба);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2.7. высота надмогильной (земляной) насыпи – 0,3-0,5 м от поверхности земли.»;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2.4. пункт 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 3. 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 захоронений)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погребения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 на территории мест погребения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места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Учреждением в соответствии с размерами указанными в пункте 2 настоящих Общих требований: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новых подготовленных и введенных в эксплуатацию Учреждением участках (кварталах) мест погребений;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существующих захоронений, в могилу ранее умершего супруга или близкого родственника;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местах существующих захоронений, рядом с могилой ранее умершего супруга или близкого родственника;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.2. основанием для предоставления земельного участка для захоронения умершего на местах погребения города Перми является заявление о предоставлении земельного участка для погребения (далее – заявление),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писанное заявителем лично в присутствии представителя Учреждения. Заявление принимается от супруга, близких родственников, иных родственников, законного представителя умершего, а при их отсутствии иного лица, взявшего на себя обязанность осуществить погреб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 умершего (далее - лицо, ответственное за погребение) при предъявлении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 удостоверяющий личность;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свидетельство о смерти умершего;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 подтверждающий кремацию умершего, в случае захоронения урн с прахом после кремации;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окументы, подтверждающие статус умершего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14.01.1993 № 4292-1 «Об увековечении памяти погибших при защите Отечества»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Закона № 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случае погребения умершего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воинском квартале или участке;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копия ходатайства заверенная и согласованная должностным лицом департамента дорог и благоустройства администрации города Перми, в случае погребения умершего в почетном квартале;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правка о рождении по форме № 3, утвержденной приказом Министерства юстиции Российской Федерации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в случае погребения детей при отсутствии факта государственной регистрации актов гражданск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ого состояния;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документы, подтверждающие близкое родство, выданные органами записи актов гражданского состояния, или судебного акта, вступившего в законную силу и документы, подтверждающие право производить какие-либо действия с могилой ранее умершего (свидетельство о см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рти ранее умерших супруга, близкого родственника, в случае погребения умершего рядом с ранее умершим супругом или близким родственником (в могилу ранее умершего супруга, близкого родственника), погребении урны с прахом умершего в могилу ранее умершего супр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уга или близкого родственника, захоронении в колумбарную нишу, используемую для хранения праха ранее умершего супруга или близкого родственника;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договор, содержащий сведения о лице (организации), ответственной за проведение работ по погребению умершего, в котором указан перечень проводимых работ на предоставляемом земельном участке для погребения.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и документы предоставляются лицом, ответственным за погребение в Учреждение не позднее дня, предшествующего дню погребения.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прием заявлений 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местах 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Порядком работы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 погребения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указанным в пункте 7 Общих требовани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 при подаче заявления, лицо, ответственное за погребение, принимает на себя обязанность по обеспечению в последующем нормативного состояния места захоронения и установленного надмогильного сооружения;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3.5. Учреждение после получения заявления и требуемых документов производит запись в Журнале (книге) учета захоронений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принятии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лицу, ответственному за погребение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решение о предоставлении земельного участка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отказе в предоставлении земельного участка для 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3.6.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земельных участков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новых подготовленных и введенных в эксплуатацию Учреждением участках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(кварталах)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 погребений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в порядке очередности поступающих заявлений;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.7. предоставление земельных участков на местах существующих захоронений, рядом с могилой ранее умершего супруга или близкого родственника (в могилу ранее умершего супруга или близкого родственника)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местах 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осуществляется после определения Учреждением возможности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погребения умершего на месте существующего захоронения.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3.7.1. Для определения возможности погребения умершего на месте существующего захоронения Учреждением проводится: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проверка документов, указанных в пункте 3.2 настоящих Общих требований предоставленных лицом, ответственным за погребение, вместе с заявлением;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проведение совместно с лицом, ответственным за погребение, осмотра предполагаемого (рассматриваемого) места захоронения;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3.7.2. Учреждение отказывает в предоставлении земельного участка для погребения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месте существующего 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рассматриваемое место 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умершего не соответствует пункте 3.1  Общих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предоставлены оригиналы документов;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предоставленных документах содержится неполная или недостоверная информация;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отсутствует свободный участок земли, размеры которого обеспечивают расстояние до соседних мест погребений согласно пункту 2 Общих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погребении в могилу (рядом с могилой) ранее умершего супруга, близкого родственника отсутствует возможность установить факт захоронения ранее умершего супруга, близкого родственника;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погребении в могилу ранее умершего супруга, близкого родственника не соблюден срок с момента предыдущего погребения (погребение урн с прахом умершего в могилу ранее умершего супруга или близкого родственника разрешается вне зависимости от срока предыдущ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 погребения), установленный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мероприятий», утвержденный постановлением Главного государственного санитарного врача Российской Федерации от 28 января 2021 г. 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 (далее - санитарные требования);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.8. в день погребения лицо (организация), непосредственно осуществляющее работы на выделенном земельном участке для погребения умершего получает в Учреждении разрешение на подготовку места захоронения, которое выдается при наличии документов, подтверждающи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 его принадлежность к лицу (организации) по договору предоставленному в Учреждение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лицом, ответственным за погребение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 чем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Учреждение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ставится отметка в заявлении, а копии документов при необходимости приобщаются к заявлению;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3.9.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одготовка места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производится в день погребения умершего. Место, подготовленное для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погребения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не использованное, должно быть засыпано в тот же день.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умершего,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урн 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могилу ранее умершего супруга, близкого родственника, лицо (организация), ответственные за проведение работ по погребению умершего обязаны вывезти на объект размещения отходов (полигон), предназначенный для размещения, хранени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(захоронения) отходов производства и потребления, демонтированные и оставшиеся непригодными элементы надмогильных сооружений с могилы ранее умершего супруга, близкого родственника. Хранение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демонтированных элементов надмогильных сооружений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 погребения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запрещены;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.10. при погребении умершего на лицо (организацию), ответственное за проведение работ по погребению умершего, возлагается ответственность за соблюдение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санитарных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границ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земельного участка,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указанных в пункте 2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после погребения умершего (в тот же день) лицо (организация), непосредственно осуществившее погребение, сообщает в Учреждение о произведенном погребении. Учреждение производит фотофиксацию произведенных на месте захоронения работ и делает отметку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произведенном погребении в заявлении. Сведения о погребении умершего Учреждение заносит в Журнал (книгу) учета захоронений;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погребения умершего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Учреждение выдает лицу, ответственному за погребение, Удостоверение о захоронении;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3.13. Удостоверение о захоронении дает право лицу, ответственному за погребение, обращаться в Учреждение для  предоставления следующих услуг: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справки о захоронении;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разрешения на установку надмогильного сооружения;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получение разрешения на подзахоронение супруга или близкого родственника рядом (в могилу) ранее умершего, близкого родственника;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подзахоронение урны с прахом супруга, близкого родственника рядом (в могилу) ранее умершего, близкого родственника;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изъятие урны с прахом.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2.5. в пункте 4 слова «муниципальных кладбищах» заменить словами «на местах погребения города Перми», добавить абзацы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 умерших детей производится в специальных кварталах или рядом с ранее умершим близким родственником (в могилу ранее умершего близкого родственника). Размеры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указанные в пункте 2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могут быть соответственно уменьшены.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 урн с прахом после кремации осуществляется в специализированных кварталах для урновых погребений, в могилу ранее умершего супруга, близкого родственника, в том числе на закрытых местах погребения, а так же в колумбарные ниши (далее - ниши) испо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льзуемые для хранения урн с прахом ранее умершего супруга или близкого родственника. Захоронение урн с прахом после кремации, а также изъятие урн осуществляется по заявлению. Захоронение в нишу осуществляется при наличии свободного места.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изъятии урн с прахом умершего из могилы или ниши Учреждение заносит в Журнал (книгу) учета захоронений.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2.6. пункт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«5. Порядок согласования осуществления захоронения умерших в почетных кварталах мест погребения города Перми.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.1. захоронение умерших в почетных кварталах мест погребения города Перми осуществляется на основании ходатайства физического или юридического лица с указанием заслуг умершего перед Российской Федерацией, Пермским краем, муниципальным образованием город Пе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рмь при условии документального подтверждения заслуг умершего;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5.2. ходатайство должно содержать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отчество, место жительства заявителя (для физических лиц);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наименование и местонахождение юридического лица, фамилию, имя, отчество, должность законного представителя юридического лица;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фамилию, имя, отчество умершего, дату его смерти;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предмет ходатайства - о погребении умершего в почетном квартале;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обоснование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почетном квартале с указанием заслуг умершего;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дату подачи ходатайства;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заявителя;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перечень документов, подтверждающих заслуги умершего;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5.3. при подаче ходатайства заявителем предъявляются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 в двух экземплярах, один из которых подлинник, другой - копя документа: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 удостоверяющий личность заявителя;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 подтверждающие заслуги умершего.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Должностным лицом департамента дорог и благоустройства администрации города Перми, уполномоченным на рассмотрение ходатайства о погребении в почетном квартале: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копии документов сверяются с их оригиналами, прилагаются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после чего оригиналы документов и копия ходатайства возвращаются заявителю,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проставляется отметка о результатах рассмотрения ходатайства, заверяется личной подписью в левом верхнем углу первого листа копии ходатайства и датой;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.4. ходатайство не должно противоречить волеизъявлению умершего, супруга, близкого родственника, иного родственника либо законного представителя умершего, а при отсутствии таковых волеизъявлению иного лица, взявшего на себя обязанность осуществить погребен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 умершего.»;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2.7. в пункте 6.1 слова «муниципальных кладбищах» заменить словами «на местах погребения города Перми»;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2.8.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 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работы мест погребения города Перми: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погребения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открыты для захоронения умерших,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урн 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понедельника по пятницу с 09.00 час. до 16.00 час., в субботу с 09.00 час. до 14.00 час., выходной день - воскресенье.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праздничные дни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захоронение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умерших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том числе урн с прахом после кремации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осуществляется в соответствии с приказом, утвержденным руководителем специализированной службы по вопросам похоронного дела, с учетом режима работы Учреждения, отделений судебно-медицинской экспертизы и патологоанатом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ических отделений медицинских 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соответствующие нерабочие праздничные дни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этом продолжительность периода, в который не производятся захоронения умерших, в том числе урн с прахом посл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 кремации, не может составлять более 2 дней подряд;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7.2. места погребения города Перми открыты для посещения ежедневно: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1 мая по 15 сентября с 09.00 час. до 20.00 час. (в нерабочие праздничные дни и дни массового посещения кладбищ в религиозные праздники до 20.30 час.),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16 сентября по 30 апреля с 09.00 час. до 18.00 час.;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7.3. строительно-монтажные, ремонтные работы (в том числе установка, реконструкция надмогильных сооружений и оградок) производятся в рабочие дни с 9.00 час. до 18.00 час. по согласованию с Учреждением.»;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9 внести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2.9.1. в абзаце третьем пункта 9.2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кладбища на территории города Перм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места погребения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9.3 в первом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«паспорт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 удостоверяющий личность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втором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ходатайства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9.5 изложить в следующей редакции:</w:t>
      </w:r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 9.5.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изъятие урны с прахом из могилы эксгумацией не является и организуется в порядке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предусмотренном пунктом 4 настоящих Общих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2.9.4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добавить пункт 9.6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 9.6.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эксгумации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 заносит в Журнал (книгу) учета захоронений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эвакуации умерших из жилья, с улиц и мест аварий в городе Перми, утвержденное постановлением администрации города Перми от 09.12.2004 № 3691 (</w:t>
      </w:r>
      <w:r>
        <w:rPr>
          <w:sz w:val="28"/>
          <w:szCs w:val="28"/>
          <w:highlight w:val="white"/>
        </w:rPr>
        <w:t xml:space="preserve">в ред.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от 25.08.2009 № 554,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от 23.06.2010       № 339, от 02.02.2012 № 35, от 28.03.2013 № 198,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от 26.05.2021 № 375)</w:t>
      </w:r>
      <w:r/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следующие изменения:</w:t>
      </w:r>
      <w:r/>
      <w:r/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пункт 2 изложить в следующей редакции:</w:t>
      </w:r>
      <w:r/>
      <w:r/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 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Эвакуация умерших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с улиц, мест аварий и иных мест (за исключением медицинских и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ных организаций, осуществляющих наряду с основной медицинскую деятельность) в городе Перми производится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Специализированной службой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здравоохранения Пермского края «Краевое бюро судебно-медицинской экспертизы и патолого-анатомических исследований»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о назначении судебно-медицинской экспертизы, на безвозмездной основе.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обеспечивает информирование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Экстренных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оперативных служб города Перми о местонахождении и номерах телефонов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Специализированной службы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 слово «перевозка» заменить словом «э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вакуация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пункте 4 исключить слова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оборудованным проблесковым маячком синего цвета и специальным звуковым сигналом»;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5 слова «с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лужба, осуществляющая эвакуацию умерших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Специализированная служба МБУ «Ритуальные услуги.»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Единые технические требования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организации и содержанию  мест погребения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Перми от 09.12.2004 № 3691 (</w:t>
      </w:r>
      <w:r>
        <w:rPr>
          <w:sz w:val="28"/>
          <w:szCs w:val="28"/>
          <w:highlight w:val="white"/>
        </w:rPr>
        <w:t xml:space="preserve">в ред. </w:t>
      </w:r>
      <w:r>
        <w:rPr>
          <w:sz w:val="28"/>
          <w:szCs w:val="28"/>
          <w:highlight w:val="white"/>
        </w:rPr>
        <w:t xml:space="preserve">от 25.08.2009 № 554,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от 23.06.2010 № 339, от 02.02.2012 № 35, </w:t>
      </w:r>
      <w:r>
        <w:rPr>
          <w:sz w:val="28"/>
          <w:szCs w:val="28"/>
          <w:highlight w:val="white"/>
        </w:rPr>
        <w:t xml:space="preserve">от 26.05.2021 № 375)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4.1. Наименование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/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Единые требования по организации и содержанию мест захоронений.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4.2. в пункте 2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администрацией кладбища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4.3.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4 внести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4.3.1. в абзаце первом пункта 4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гражданами и организациями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«погребений» заменить словом «захоронений.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4.3.2.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второй пункта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изложить в следующей редакции: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Установленные надмогильные сооружения (памятники, цветники, оградки и др.) являются собственностью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лиц, ответственных за погребение умерших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4.3.3. в абзаце третьем пункта 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гражданами и организациями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лицом (организацией)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/>
      <w:r/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5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администрацией кладбища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 исключить пункт 5.1 и 5.2;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 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установка или замена надмогильных сооружений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местах захоронений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согласованию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при предъявлении свидетельства о смерти или справки о смерти на захороненных и документов на изготовление (приобретение) надмогильных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сооружений.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/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7 слова «участков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мест захоронения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администрацией кладбища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словом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 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62" w:left="1417" w:header="363" w:footer="709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3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715"/>
    <w:next w:val="71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715"/>
    <w:next w:val="71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715"/>
    <w:next w:val="71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715"/>
    <w:next w:val="715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6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</w:style>
  <w:style w:type="paragraph" w:styleId="716">
    <w:name w:val="Heading 1"/>
    <w:basedOn w:val="715"/>
    <w:next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qFormat/>
    <w:pPr>
      <w:ind w:right="-1"/>
      <w:jc w:val="both"/>
      <w:keepNext/>
      <w:outlineLvl w:val="1"/>
    </w:pPr>
    <w:rPr>
      <w:sz w:val="24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Title Char"/>
    <w:basedOn w:val="718"/>
    <w:uiPriority w:val="10"/>
    <w:rPr>
      <w:sz w:val="48"/>
      <w:szCs w:val="48"/>
    </w:rPr>
  </w:style>
  <w:style w:type="character" w:styleId="722" w:customStyle="1">
    <w:name w:val="Subtitle Char"/>
    <w:basedOn w:val="718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paragraph" w:styleId="727" w:customStyle="1">
    <w:name w:val="Заголовок 11"/>
    <w:basedOn w:val="715"/>
    <w:next w:val="715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28" w:customStyle="1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 w:customStyle="1">
    <w:name w:val="Заголовок 21"/>
    <w:basedOn w:val="715"/>
    <w:next w:val="715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30" w:customStyle="1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 w:customStyle="1">
    <w:name w:val="Заголовок 31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32" w:customStyle="1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 w:customStyle="1">
    <w:name w:val="Заголовок 41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34" w:customStyle="1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 w:customStyle="1">
    <w:name w:val="Заголовок 51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36" w:customStyle="1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 w:customStyle="1">
    <w:name w:val="Заголовок 61"/>
    <w:basedOn w:val="715"/>
    <w:next w:val="715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38" w:customStyle="1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 w:customStyle="1">
    <w:name w:val="Заголовок 71"/>
    <w:basedOn w:val="715"/>
    <w:next w:val="715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40" w:customStyle="1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 w:customStyle="1">
    <w:name w:val="Заголовок 81"/>
    <w:basedOn w:val="715"/>
    <w:next w:val="715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42" w:customStyle="1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 w:customStyle="1">
    <w:name w:val="Заголовок 91"/>
    <w:basedOn w:val="715"/>
    <w:next w:val="715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44" w:customStyle="1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15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rPr>
      <w:lang w:eastAsia="zh-CN"/>
    </w:rPr>
  </w:style>
  <w:style w:type="paragraph" w:styleId="747">
    <w:name w:val="Title"/>
    <w:basedOn w:val="715"/>
    <w:next w:val="71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15"/>
    <w:next w:val="71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15"/>
    <w:next w:val="71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5"/>
    <w:next w:val="71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 w:customStyle="1">
    <w:name w:val="Верхний колонтитул1"/>
    <w:basedOn w:val="715"/>
    <w:link w:val="7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Header Char"/>
    <w:link w:val="755"/>
    <w:uiPriority w:val="99"/>
  </w:style>
  <w:style w:type="paragraph" w:styleId="757" w:customStyle="1">
    <w:name w:val="Нижний колонтитул1"/>
    <w:basedOn w:val="715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uiPriority w:val="99"/>
  </w:style>
  <w:style w:type="paragraph" w:styleId="759" w:customStyle="1">
    <w:name w:val="Название объекта1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0" w:customStyle="1">
    <w:name w:val="Caption Char"/>
    <w:link w:val="757"/>
    <w:uiPriority w:val="99"/>
  </w:style>
  <w:style w:type="table" w:styleId="76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7">
    <w:name w:val="Hyperlink"/>
    <w:rPr>
      <w:color w:val="0000ff"/>
      <w:u w:val="single"/>
    </w:rPr>
  </w:style>
  <w:style w:type="paragraph" w:styleId="888">
    <w:name w:val="footnote text"/>
    <w:basedOn w:val="715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15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15"/>
    <w:next w:val="715"/>
    <w:uiPriority w:val="39"/>
    <w:unhideWhenUsed/>
    <w:pPr>
      <w:spacing w:after="57"/>
    </w:pPr>
  </w:style>
  <w:style w:type="paragraph" w:styleId="895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96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97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8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9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900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901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902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  <w:rPr>
      <w:lang w:eastAsia="zh-CN"/>
    </w:rPr>
  </w:style>
  <w:style w:type="paragraph" w:styleId="904">
    <w:name w:val="table of figures"/>
    <w:basedOn w:val="715"/>
    <w:next w:val="715"/>
    <w:uiPriority w:val="99"/>
    <w:unhideWhenUsed/>
  </w:style>
  <w:style w:type="paragraph" w:styleId="905">
    <w:name w:val="Caption"/>
    <w:basedOn w:val="715"/>
    <w:next w:val="7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6">
    <w:name w:val="Body Text"/>
    <w:basedOn w:val="715"/>
    <w:link w:val="915"/>
    <w:pPr>
      <w:ind w:right="3117"/>
    </w:pPr>
    <w:rPr>
      <w:rFonts w:ascii="Courier New" w:hAnsi="Courier New"/>
      <w:sz w:val="26"/>
    </w:rPr>
  </w:style>
  <w:style w:type="paragraph" w:styleId="907">
    <w:name w:val="Body Text Indent"/>
    <w:basedOn w:val="715"/>
    <w:pPr>
      <w:ind w:right="-1"/>
      <w:jc w:val="both"/>
    </w:pPr>
    <w:rPr>
      <w:sz w:val="26"/>
    </w:rPr>
  </w:style>
  <w:style w:type="paragraph" w:styleId="908">
    <w:name w:val="Footer"/>
    <w:basedOn w:val="715"/>
    <w:link w:val="914"/>
    <w:pPr>
      <w:tabs>
        <w:tab w:val="center" w:pos="4153" w:leader="none"/>
        <w:tab w:val="right" w:pos="8306" w:leader="none"/>
      </w:tabs>
    </w:pPr>
  </w:style>
  <w:style w:type="character" w:styleId="909">
    <w:name w:val="page number"/>
    <w:basedOn w:val="718"/>
  </w:style>
  <w:style w:type="paragraph" w:styleId="910">
    <w:name w:val="Header"/>
    <w:basedOn w:val="715"/>
    <w:link w:val="913"/>
    <w:uiPriority w:val="99"/>
    <w:pPr>
      <w:tabs>
        <w:tab w:val="center" w:pos="4153" w:leader="none"/>
        <w:tab w:val="right" w:pos="8306" w:leader="none"/>
      </w:tabs>
    </w:pPr>
  </w:style>
  <w:style w:type="paragraph" w:styleId="911">
    <w:name w:val="Balloon Text"/>
    <w:basedOn w:val="715"/>
    <w:link w:val="912"/>
    <w:rPr>
      <w:rFonts w:ascii="Segoe UI" w:hAnsi="Segoe UI"/>
      <w:sz w:val="18"/>
      <w:szCs w:val="18"/>
    </w:rPr>
  </w:style>
  <w:style w:type="character" w:styleId="912" w:customStyle="1">
    <w:name w:val="Текст выноски Знак"/>
    <w:link w:val="911"/>
    <w:rPr>
      <w:rFonts w:ascii="Segoe UI" w:hAnsi="Segoe UI" w:cs="Segoe UI"/>
      <w:sz w:val="18"/>
      <w:szCs w:val="18"/>
    </w:rPr>
  </w:style>
  <w:style w:type="character" w:styleId="913" w:customStyle="1">
    <w:name w:val="Верхний колонтитул Знак"/>
    <w:link w:val="910"/>
    <w:uiPriority w:val="99"/>
  </w:style>
  <w:style w:type="character" w:styleId="914" w:customStyle="1">
    <w:name w:val="Нижний колонтитул Знак"/>
    <w:link w:val="908"/>
  </w:style>
  <w:style w:type="character" w:styleId="915" w:customStyle="1">
    <w:name w:val="Основной текст Знак"/>
    <w:link w:val="906"/>
    <w:rPr>
      <w:rFonts w:ascii="Courier New" w:hAnsi="Courier New"/>
      <w:sz w:val="26"/>
    </w:rPr>
  </w:style>
  <w:style w:type="paragraph" w:styleId="916" w:customStyle="1">
    <w:name w:val="ConsPlusNormal"/>
    <w:pPr>
      <w:widowControl w:val="off"/>
    </w:pPr>
    <w:rPr>
      <w:rFonts w:ascii="Calibri" w:hAnsi="Calibri" w:cs="Calibri"/>
      <w:sz w:val="22"/>
      <w:szCs w:val="22"/>
    </w:rPr>
  </w:style>
  <w:style w:type="paragraph" w:styleId="917" w:customStyle="1">
    <w:name w:val="ConsPlusTitle"/>
    <w:pPr>
      <w:widowControl w:val="off"/>
    </w:pPr>
    <w:rPr>
      <w:rFonts w:ascii="Calibri" w:hAnsi="Calibri" w:cs="Calibri"/>
      <w:b/>
      <w:sz w:val="22"/>
      <w:szCs w:val="22"/>
    </w:rPr>
  </w:style>
  <w:style w:type="character" w:styleId="918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919">
    <w:name w:val="annotation text"/>
    <w:basedOn w:val="715"/>
    <w:link w:val="920"/>
    <w:uiPriority w:val="99"/>
    <w:unhideWhenUsed/>
  </w:style>
  <w:style w:type="character" w:styleId="920" w:customStyle="1">
    <w:name w:val="Текст примечания Знак"/>
    <w:basedOn w:val="718"/>
    <w:link w:val="919"/>
    <w:uiPriority w:val="99"/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b/>
      <w:bCs/>
    </w:rPr>
  </w:style>
  <w:style w:type="paragraph" w:styleId="923" w:customStyle="1">
    <w:name w:val="ConsPlusNonformat"/>
    <w:pPr>
      <w:widowControl w:val="off"/>
    </w:pPr>
    <w:rPr>
      <w:rFonts w:ascii="Courier New" w:hAnsi="Courier New" w:cs="Courier New"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D8B3-FF77-4949-886B-91B8B8E0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Владислав Юрьевич</dc:creator>
  <cp:revision>51</cp:revision>
  <dcterms:created xsi:type="dcterms:W3CDTF">2024-11-21T09:51:00Z</dcterms:created>
  <dcterms:modified xsi:type="dcterms:W3CDTF">2025-07-04T10:56:54Z</dcterms:modified>
  <cp:version>786432</cp:version>
</cp:coreProperties>
</file>