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проекта </w:t>
      </w:r>
      <w:r>
        <w:rPr>
          <w:b/>
          <w:bCs/>
        </w:rPr>
        <w:t xml:space="preserve">планировки территории </w:t>
        <w:br/>
        <w:t xml:space="preserve">и проекта межевания территории, </w:t>
        <w:br/>
        <w:t xml:space="preserve">ограниченной</w:t>
      </w:r>
      <w:r>
        <w:t xml:space="preserve"> </w:t>
      </w:r>
      <w:r>
        <w:rPr>
          <w:b/>
          <w:bCs/>
        </w:rPr>
        <w:t xml:space="preserve">ул. Белоевской, </w:t>
        <w:br/>
        <w:t xml:space="preserve">ул. Ветлужской, ул. Вагонной </w:t>
        <w:br/>
        <w:t xml:space="preserve">в Дзержинском районе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города</w:t>
      </w:r>
      <w:r>
        <w:rPr>
          <w:b/>
          <w:bCs/>
        </w:rPr>
        <w:t xml:space="preserve"> </w:t>
      </w:r>
      <w:r>
        <w:rPr>
          <w:b/>
          <w:bCs/>
        </w:rPr>
        <w:t xml:space="preserve">Перми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ии для размещения объектов, указанных в части 5 </w:t>
        <w:br/>
        <w:t xml:space="preserve">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19</w:t>
      </w:r>
      <w:r>
        <w:rPr>
          <w:sz w:val="28"/>
          <w:szCs w:val="28"/>
        </w:rPr>
        <w:t xml:space="preserve"> июня 2025 г. </w:t>
        <w:br/>
        <w:t xml:space="preserve">№ 31-02-1-4-1718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</w:r>
      <w:r>
        <w:rPr>
          <w:sz w:val="28"/>
          <w:szCs w:val="28"/>
        </w:rPr>
        <w:t xml:space="preserve">ул. Белоевской, ул. Ветлужской, </w:t>
        <w:br/>
        <w:t xml:space="preserve">ул. Вагонной в Дзержинском районе города</w:t>
      </w:r>
      <w: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</w:t>
        <w:br/>
        <w:t xml:space="preserve">по управлению имуществом и градостроительной деятельности Пермского края </w:t>
      </w:r>
      <w:r>
        <w:rPr>
          <w:sz w:val="28"/>
          <w:szCs w:val="28"/>
        </w:rPr>
        <w:br/>
        <w:t xml:space="preserve">от 23</w:t>
      </w:r>
      <w:r>
        <w:rPr>
          <w:sz w:val="28"/>
          <w:szCs w:val="28"/>
        </w:rPr>
        <w:t xml:space="preserve"> июня 2025 г. № 31-07-1-5исх-712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  <w:br/>
      </w:r>
      <w:r>
        <w:rPr>
          <w:sz w:val="28"/>
          <w:szCs w:val="28"/>
        </w:rPr>
        <w:t xml:space="preserve">ул. Белоевской, ул. Ветлужской, ул. Вагонной в Дзержинском районе города</w:t>
      </w:r>
      <w: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, требованиям градостроительного законодательства Российской Федерации от 17 июня 2025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ул. Белоевской, ул. Ветлужской, ул. Вагонной в Дзержинском районе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15 июля 2025 г. </w:t>
      </w:r>
      <w:r>
        <w:rPr>
          <w:sz w:val="28"/>
          <w:szCs w:val="28"/>
        </w:rPr>
        <w:br/>
        <w:t xml:space="preserve">по 18 июля 2025 г.: понедельник-четверг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с 09.00 час. до 18.00 час.</w:t>
      </w:r>
      <w:r>
        <w:rPr>
          <w:sz w:val="28"/>
          <w:szCs w:val="28"/>
        </w:rPr>
        <w:t xml:space="preserve">, пятница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до 17.00 час.</w:t>
      </w:r>
      <w:r>
        <w:rPr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16 июля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15 июля 2025 г. по 18 июля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18 июля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23</cp:revision>
  <dcterms:created xsi:type="dcterms:W3CDTF">2024-10-25T06:16:00Z</dcterms:created>
  <dcterms:modified xsi:type="dcterms:W3CDTF">2025-07-04T05:56:50Z</dcterms:modified>
</cp:coreProperties>
</file>