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72407</wp:posOffset>
                </wp:positionV>
                <wp:extent cx="3329645" cy="308610"/>
                <wp:effectExtent l="6350" t="6350" r="6350" b="635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329644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6"/>
                              <w:jc w:val="lef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07.07.2025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  <w:tab/>
                              <w:tab/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059-11-01-04-244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866"/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</w:r>
                            <w:r>
                              <w:rPr>
                                <w:u w:val="none"/>
                              </w:rPr>
                            </w:r>
                            <w:r>
                              <w:rPr>
                                <w:u w:val="none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0.00pt;mso-position-horizontal:absolute;mso-position-vertical-relative:text;margin-top:5.70pt;mso-position-vertical:absolute;width:262.18pt;height:24.30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pStyle w:val="866"/>
                        <w:jc w:val="lef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07.07.2025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 </w:t>
                        <w:tab/>
                        <w:tab/>
                        <w:tab/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059-11-01-04-244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866"/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</w:r>
                      <w:r>
                        <w:rPr>
                          <w:u w:val="none"/>
                        </w:rPr>
                      </w:r>
                      <w:r>
                        <w:rPr>
                          <w:u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10 статьи 32 Жилищного кодекса Российской Федерации, Положения об управлении жилищных отношений администрации города Перми, утвержденного решением Пермской городской Думы от 12 сентября 2006 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12</w:t>
      </w:r>
      <w:r>
        <w:rPr>
          <w:sz w:val="28"/>
          <w:szCs w:val="28"/>
        </w:rPr>
        <w:t xml:space="preserve"> ноября 2017 г. </w:t>
      </w:r>
      <w:r>
        <w:rPr>
          <w:sz w:val="28"/>
          <w:szCs w:val="28"/>
        </w:rPr>
        <w:t xml:space="preserve">№ СЭД-059-11-01-04-184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 (в ред. от 14 апреля 2021 г., от 07 декабря 2023 г.):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и подлежащим сносу, с кадастровым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59:01:4510444:14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5 082 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Пермский край, г.Пермь, р-н Дзержинский, ул.Ударника, 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информационно-аналитическое управление администрации города Перми для размещения в течение 10 календарных дней со дня подписания на официальном сайте муниципального образования город Пермь 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уп</w:t>
      </w:r>
      <w:r>
        <w:rPr>
          <w:sz w:val="28"/>
          <w:szCs w:val="28"/>
        </w:rPr>
        <w:t xml:space="preserve">равление по общим вопросам администрации города Перми 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38</cp:revision>
  <dcterms:created xsi:type="dcterms:W3CDTF">2022-07-27T09:06:00Z</dcterms:created>
  <dcterms:modified xsi:type="dcterms:W3CDTF">2025-07-08T05:18:31Z</dcterms:modified>
  <cp:version>917504</cp:version>
</cp:coreProperties>
</file>