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09.07.2025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059-11-01-04-252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09.07.2025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059-11-01-04-252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10 статьи 32 Жилищного кодекса Российской Федерации, Положения об управлении жилищных отношений администрации города Перми, утвержденного решением Пермской городской Думы от 12 сентября 2006 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12</w:t>
      </w:r>
      <w:r>
        <w:rPr>
          <w:sz w:val="28"/>
          <w:szCs w:val="28"/>
        </w:rPr>
        <w:t xml:space="preserve"> апреля 2022 г. </w:t>
      </w:r>
      <w:r>
        <w:rPr>
          <w:sz w:val="28"/>
          <w:szCs w:val="28"/>
        </w:rPr>
        <w:t xml:space="preserve">№ 059-11-01-04-298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и 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59:01:3812916:9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</w:t>
      </w:r>
      <w:r>
        <w:rPr>
          <w:sz w:val="28"/>
          <w:szCs w:val="28"/>
        </w:rPr>
        <w:t xml:space="preserve">791+/-8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край Пермский, г.Пермь, </w:t>
        <w:br/>
      </w:r>
      <w:r>
        <w:rPr>
          <w:sz w:val="28"/>
          <w:szCs w:val="28"/>
          <w:highlight w:val="none"/>
        </w:rPr>
        <w:t xml:space="preserve">р-н Орджоникидзевский, ул.Бушмакина/Суперфосфатная, 15/10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информационно-аналитическое управление администрации города Перми для размещения в течение 10 календарных дней со дня подписания на официальном сайте муниципального образования город Пермь в 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уп</w:t>
      </w:r>
      <w:r>
        <w:rPr>
          <w:sz w:val="28"/>
          <w:szCs w:val="28"/>
        </w:rPr>
        <w:t xml:space="preserve">равление по общим вопросам администрации города Перми 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на 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 xml:space="preserve">со 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t xml:space="preserve">и 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в 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t xml:space="preserve">на 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42</cp:revision>
  <dcterms:created xsi:type="dcterms:W3CDTF">2022-07-27T09:06:00Z</dcterms:created>
  <dcterms:modified xsi:type="dcterms:W3CDTF">2025-07-10T04:47:26Z</dcterms:modified>
  <cp:version>917504</cp:version>
</cp:coreProperties>
</file>