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09.07.2025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059-11-01-04-255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09.07.2025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059-11-01-04-255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10 статьи 32 Жилищного кодекса Российской Федерации, Положения об 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14</w:t>
      </w:r>
      <w:r>
        <w:rPr>
          <w:sz w:val="28"/>
          <w:szCs w:val="28"/>
        </w:rPr>
        <w:t xml:space="preserve"> марта 2022 г. </w:t>
      </w:r>
      <w:r>
        <w:rPr>
          <w:sz w:val="28"/>
          <w:szCs w:val="28"/>
        </w:rPr>
        <w:t xml:space="preserve">№ 059-11-01-04-142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59:01:3211716:26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904,55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Пермский край, г.Пермь, </w:t>
        <w:br/>
      </w:r>
      <w:r>
        <w:rPr>
          <w:sz w:val="28"/>
          <w:szCs w:val="28"/>
          <w:highlight w:val="none"/>
        </w:rPr>
        <w:t xml:space="preserve">р-н Мотовилихинский, ул.1-я Линия, 41а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/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45</cp:revision>
  <dcterms:created xsi:type="dcterms:W3CDTF">2022-07-27T09:06:00Z</dcterms:created>
  <dcterms:modified xsi:type="dcterms:W3CDTF">2025-07-10T04:41:33Z</dcterms:modified>
  <cp:version>917504</cp:version>
</cp:coreProperties>
</file>