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466929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  <w:lang w:bidi="ru-RU"/>
        </w:rPr>
        <w:t xml:space="preserve">постановление администрации города Перми от 04.07.2012 № 359 </w:t>
      </w: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ind w:right="5387"/>
        <w:spacing w:line="240" w:lineRule="exact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«Об установлении расходного обязательства по вопросам местного значения в сфере жилищных отношений» </w:t>
      </w: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актуализации нормативных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</w:t>
      </w:r>
      <w:r>
        <w:rPr>
          <w:sz w:val="28"/>
          <w:szCs w:val="28"/>
        </w:rPr>
        <w:t xml:space="preserve">ации города Перми от 04 июля 2012 г. № 359 «Об установлении расходного обязательства по вопросам местного значения в сфере жилищных отношений» (в ред. от 30.12.2016 № 1211, </w:t>
      </w:r>
      <w:r>
        <w:rPr>
          <w:sz w:val="28"/>
          <w:szCs w:val="28"/>
        </w:rPr>
        <w:br/>
        <w:t xml:space="preserve">от 23.10.2017 № 932, от 08.07.2020 № 585, от 28.12.2021 № 1242, от 30.05.2022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</w:t>
      </w:r>
      <w:r>
        <w:rPr>
          <w:sz w:val="28"/>
          <w:szCs w:val="28"/>
        </w:rPr>
        <w:t xml:space="preserve">17, от 01.11.2022 № 1108, от 22.08.2023 № 749, от 21.12.2023 № 1447, </w:t>
      </w:r>
      <w:r>
        <w:rPr>
          <w:sz w:val="28"/>
          <w:szCs w:val="28"/>
        </w:rPr>
        <w:br/>
        <w:t xml:space="preserve">от 24.12.2024 № 1282 от 28.03.2025 № 204)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приложении строки 6,15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3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6377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нормативное состояние муниципальных жилых помеще</w:t>
            </w:r>
            <w:r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последующего заселения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 xml:space="preserve">расчетный объем бюджетных ассигнований определяется плановым методом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tbl>
      <w:tblPr>
        <w:tblW w:w="1006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377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несение платы за отопление и обращение с твердыми коммунальными отходами пустующих муниципальных жилых помещений, входящих в состав имущества муниципальной казны, услуги, работы по управлению </w:t>
            </w:r>
            <w:r>
              <w:rPr>
                <w:sz w:val="28"/>
                <w:szCs w:val="28"/>
              </w:rPr>
              <w:t xml:space="preserve">многоквартирн</w:t>
            </w:r>
            <w:r>
              <w:rPr>
                <w:sz w:val="28"/>
                <w:szCs w:val="28"/>
              </w:rPr>
              <w:t xml:space="preserve">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целях содержания общего имущества в многоквартирном доме соразмерно доле пустующих муниципальных жилых помещений, входящих в состав имущества муниципальной казны, в праве общей собственности на общее имущество в многоквартирном доме;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внесение платы в размере повышающего коэффициента за коммунальные услуги, предоставл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нные в муниципальные жилые помещения, входящие в состав имущества муниципальной казны, не оборудованные индивидуальными приборами учета холодной воды, горячей воды и электрической энергии, при наличии технической возможности установки таких приборов учета </w:t>
            </w:r>
            <w:r>
              <w:rPr>
                <w:sz w:val="28"/>
                <w:szCs w:val="28"/>
                <w:highlight w:val="white"/>
              </w:rPr>
              <w:t xml:space="preserve">(далее - в</w:t>
            </w:r>
            <w:r>
              <w:rPr>
                <w:sz w:val="28"/>
                <w:szCs w:val="28"/>
                <w:highlight w:val="white"/>
              </w:rPr>
              <w:t xml:space="preserve">несение платы за</w:t>
            </w:r>
            <w:r>
              <w:rPr>
                <w:sz w:val="28"/>
                <w:szCs w:val="28"/>
                <w:highlight w:val="white"/>
              </w:rPr>
              <w:t xml:space="preserve"> содержание пустующих </w:t>
            </w:r>
            <w:r>
              <w:rPr>
                <w:sz w:val="28"/>
                <w:szCs w:val="28"/>
                <w:highlight w:val="white"/>
              </w:rPr>
              <w:t xml:space="preserve">муниципальных жилых помещений)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определяется нормативным методом.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за отопление пустующих муниципальных жилых помещений на очередной финансовый год исчисляется по следующей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БАрасчет. отоп. пуст. помещ. очер. ф/год = Н x Т x S x 8,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- общая площадь пустующих муниципальных жилых помещений по состоянию на дату составления расчета по планированию (изменениям),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- средневзвешенный тариф на тепловую энергию, руб. / Гкал;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 - норматив теплопотребления Гкал/1 кв.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за обращение с твердыми коммунальными отходами (далее - ТКО) пустующих муниципальных жилых помещений на очередной финансовый год исчисляется по следующей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БАрасчет. ТКО.ф/год = SUM (N / 12 x еТ x n),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- норматив накопления ТКО;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12 - количество месяцев в году;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еТ - единый предельный тариф, руб./т;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- количество собственников пустующего муниципального жилого помещения.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за содержание и текущий ремонт пустующих муниципальных жилых помещений на очередной финансовый год исчисляется по следующей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БАрасчет. пуст. помещ. очер. ф/год =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 (S x 12 мес. x T),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- общая площадь пустующего муниципального жилого помещения по состоянию на дату составления расчета по планированию (изменениям),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- размер платы за услуги по содержанию и текущему ремонту муниципального жилого помещения, руб./ кв. 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по холодному водоснабжению на ОДН пустующих муниципальных жилых помещений на очередной финансовый год исчисляется по следующей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 хвс одн = SUM (Nхвс одн x (Sои x Sпмжп / Sпд) x Тхвс x 12,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Nхвс одн - норматив потребления холодного водоснабжения на общедомовые нужды, куб. м в месяц на кв. м общей площади мест общего пользования многоквартирного дома;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Sои - площадь общего имущества дома,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Sпмжп - площадь пустующего муниципального жилого помещения по состоянию на дату составления расчета по планированию (изменениям),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Sпд - площадь многоквартирного дома (жилая + нежилая),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Тхвс - средневзвешенный тариф на холодное водоснабжение, руб./ куб. 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по горячему водоснабжению на общедомовые нужды (далее - ОДН) пустующих муниципальных жилых помещений на очередной финансовый год исчисляется по следующей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 гвс одн = SUM (Nгвс одн x (Sои x Sпмжп / Sпд) x Тгвс x 12,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Nгвс одн - норматив потребления горячего водоснабжения на ОДН, куб. м в месяц на кв. м общей площади мест общего пользования многоквартирного дома;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Sои - площадь общего имущества дома,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Sпмжп - площадь пустующего муниципального жилого помещения по состоянию на дату составления расчета по планированию (изменениям),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Sпд - площадь многоквартирного дома (жилая + нежилая),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Тгвс - средневзвешенный тариф на горячее водоснабжение, руб./ куб. 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</w:pPr>
            <w:r>
              <w:rPr>
                <w:sz w:val="24"/>
              </w:rPr>
            </w:r>
            <w:r/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по электроснабжению на ОДН пустующих муниципальных жилых помещений на очередной финансовый год исчисляется по следующей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 электр. одн = SUM (Nодн x Sои x (Sпмжп / Sпд) x Tэл x 12,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Nодн - норматив потребления электроэнергии на ОДН, кВт в месяц на кв. м общей площади мест общего пользования многоквартирного дома;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Sои - площадь общего имущества дома,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Sпмжп - площадь пустующего муниципального жилого помещения по состоянию на дату составления расчета по планированию (изменениям),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Sпд - площадь многоквартирного дома (жилая + нежилая),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Tэл - тариф на электроснабжение, руб./ кВт.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за отведение сточных вод на ОДН в целях содержания общего имущества в многоквартирном доме соразмерно доле пустующих муниципальных жилых помещений на очередной финансовый год исчисляется по следующей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 в/отв одн = SUM (Nхвс одн + Nгвс одн) x (Sои x Sпмжп / Sпд) x Тв/отв x 12,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Nхвс одн - норматив потребления холодного водоснабжения на общедомовые нужды, куб. м в месяц на кв. м общей площади мест общего пользования многоквартирного дома;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Nгвс одн - норматив потребления горячего водоснабжения на ОДН, куб. м в месяц на кв. м общей площади мест общего пользования многоквартирного дома;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Sои - площадь общего имущества дома,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Sпмжп - площадь пустующего муниципального жилого помещения по состоянию на дату составления расчета по планированию (изменениям),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Sпд - площадь многоквартирного дома (жилая + нежилая), кв. 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Тв/отв - средневзвешенный тариф на водоотведение, руб./ куб. 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по внесению платы в размере повышающего коэффициента за коммунальные услуги, предоставленные в муниципальные жилые помещен</w:t>
            </w:r>
            <w:r>
              <w:rPr>
                <w:sz w:val="28"/>
                <w:szCs w:val="28"/>
              </w:rPr>
              <w:t xml:space="preserve">ия, входящие в состав имущества муниципальной казны, не оборудованные индивидуальными приборами учета холодной воды, горячей воды и электрической энергии, при наличии технической возможности установки таких приборов учета, исчисляется по следующей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БАрасчет. повыш.коэф.ф/год = (n x N1 x K</w:t>
            </w:r>
            <w:r>
              <w:rPr>
                <w:sz w:val="28"/>
                <w:szCs w:val="28"/>
                <w:vertAlign w:val="subscript"/>
              </w:rPr>
              <w:t xml:space="preserve">пов</w:t>
            </w:r>
            <w:r>
              <w:rPr>
                <w:sz w:val="28"/>
                <w:szCs w:val="28"/>
              </w:rPr>
              <w:t xml:space="preserve"> x T1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+ n x N2 x K</w:t>
            </w:r>
            <w:r>
              <w:rPr>
                <w:sz w:val="28"/>
                <w:szCs w:val="28"/>
                <w:vertAlign w:val="subscript"/>
              </w:rPr>
              <w:t xml:space="preserve">пов</w:t>
            </w:r>
            <w:r>
              <w:rPr>
                <w:sz w:val="28"/>
                <w:szCs w:val="28"/>
              </w:rPr>
              <w:t xml:space="preserve"> x T2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+ n x N3 x K</w:t>
            </w:r>
            <w:r>
              <w:rPr>
                <w:sz w:val="28"/>
                <w:szCs w:val="28"/>
                <w:vertAlign w:val="subscript"/>
              </w:rPr>
              <w:t xml:space="preserve">пов</w:t>
            </w:r>
            <w:r>
              <w:rPr>
                <w:sz w:val="28"/>
                <w:szCs w:val="28"/>
              </w:rPr>
              <w:t xml:space="preserve"> x T3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) - (n x N1 x T1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+ n x N2 x T2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+ n x N3 x T3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) * 12,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- количество граждан, постоянно и временно проживающих в муниципальных жилых п</w:t>
            </w:r>
            <w:r>
              <w:rPr>
                <w:sz w:val="28"/>
                <w:szCs w:val="28"/>
              </w:rPr>
              <w:t xml:space="preserve">омещениях, не оборудованных индивидуальными приборами учета холодной воды, горячей воды и электрической энергии, при наличии технической возможности установки таких приборов учета по состоянию на дату составления расчета по планированию (изменениям), чел.;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N1 - норматив потребления коммунальной услуги по холодному водоснабжению;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N2 - норматив потребления коммунальной услуги по горячему водоснабжению;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N3 - норматив потребления коммунальной услуги по электроснабжению;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пов</w:t>
            </w:r>
            <w:r>
              <w:rPr>
                <w:sz w:val="28"/>
                <w:szCs w:val="28"/>
              </w:rPr>
              <w:t xml:space="preserve"> - повышающий коэффициент, величина которого принимается равной 1,5;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T1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- тариф (цена) на коммунальный ресурс по холодному водоснабжению, установленный в соответствии с законодательством Российской Федерации;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T2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- тариф (цена) на коммунальный ресурс по горячему водоснабжению, установленный в соответствии с законодательством Российской Федерации;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T3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- тариф (цена) на коммунальный ресурс по электроснабжению, установленный в соответствии с законодательством Российской Федерации;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12 - количество месяцев в году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924"/>
              <w:rPr>
                <w:highlight w:val="white"/>
              </w:rPr>
            </w:pPr>
            <w:r>
              <w:rPr>
                <w:highlight w:val="white"/>
              </w:rPr>
              <w:t xml:space="preserve">В случае создания резерва для </w:t>
            </w:r>
            <w:r>
              <w:rPr>
                <w:highlight w:val="white"/>
              </w:rPr>
              <w:t xml:space="preserve">оплаты </w:t>
            </w:r>
            <w:r>
              <w:rPr>
                <w:highlight w:val="white"/>
              </w:rPr>
              <w:t xml:space="preserve">расходов по в</w:t>
            </w:r>
            <w:r>
              <w:rPr>
                <w:sz w:val="28"/>
                <w:szCs w:val="28"/>
                <w:highlight w:val="white"/>
              </w:rPr>
              <w:t xml:space="preserve">несению платы за</w:t>
            </w:r>
            <w:r>
              <w:rPr>
                <w:sz w:val="28"/>
                <w:szCs w:val="28"/>
                <w:highlight w:val="white"/>
              </w:rPr>
              <w:t xml:space="preserve"> содержание пустующих </w:t>
            </w:r>
            <w:r>
              <w:rPr>
                <w:sz w:val="28"/>
                <w:szCs w:val="28"/>
                <w:highlight w:val="white"/>
              </w:rPr>
              <w:t xml:space="preserve">муниципальных жилых помещений</w:t>
            </w:r>
            <w:r>
              <w:rPr>
                <w:highlight w:val="white"/>
              </w:rPr>
              <w:t xml:space="preserve"> расчетный объем бюджетных ассигнований определяется  плановым методом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</w:t>
      </w:r>
      <w:r>
        <w:rPr>
          <w:sz w:val="28"/>
          <w:szCs w:val="28"/>
        </w:rPr>
        <w:t xml:space="preserve">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</w:t>
      </w:r>
      <w:r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</w:t>
      </w:r>
      <w:r>
        <w:rPr>
          <w:sz w:val="28"/>
          <w:szCs w:val="28"/>
        </w:rPr>
        <w:t xml:space="preserve">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7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7"/>
    <w:link w:val="741"/>
    <w:uiPriority w:val="10"/>
    <w:rPr>
      <w:sz w:val="48"/>
      <w:szCs w:val="48"/>
    </w:rPr>
  </w:style>
  <w:style w:type="character" w:styleId="711">
    <w:name w:val="Subtitle Char"/>
    <w:basedOn w:val="727"/>
    <w:link w:val="743"/>
    <w:uiPriority w:val="11"/>
    <w:rPr>
      <w:sz w:val="24"/>
      <w:szCs w:val="24"/>
    </w:rPr>
  </w:style>
  <w:style w:type="character" w:styleId="712">
    <w:name w:val="Quote Char"/>
    <w:link w:val="745"/>
    <w:uiPriority w:val="29"/>
    <w:rPr>
      <w:i/>
    </w:rPr>
  </w:style>
  <w:style w:type="character" w:styleId="713">
    <w:name w:val="Intense Quote Char"/>
    <w:link w:val="747"/>
    <w:uiPriority w:val="30"/>
    <w:rPr>
      <w:i/>
    </w:rPr>
  </w:style>
  <w:style w:type="character" w:styleId="714">
    <w:name w:val="Caption Char"/>
    <w:basedOn w:val="753"/>
    <w:link w:val="751"/>
    <w:uiPriority w:val="99"/>
  </w:style>
  <w:style w:type="character" w:styleId="715">
    <w:name w:val="Footnote Text Char"/>
    <w:link w:val="882"/>
    <w:uiPriority w:val="99"/>
    <w:rPr>
      <w:sz w:val="18"/>
    </w:rPr>
  </w:style>
  <w:style w:type="character" w:styleId="716">
    <w:name w:val="Endnote Text Char"/>
    <w:link w:val="885"/>
    <w:uiPriority w:val="99"/>
    <w:rPr>
      <w:sz w:val="20"/>
    </w:rPr>
  </w:style>
  <w:style w:type="paragraph" w:styleId="717" w:default="1">
    <w:name w:val="Normal"/>
    <w:qFormat/>
    <w:rPr>
      <w:lang w:eastAsia="ru-RU"/>
    </w:rPr>
  </w:style>
  <w:style w:type="paragraph" w:styleId="718">
    <w:name w:val="Heading 1"/>
    <w:basedOn w:val="717"/>
    <w:next w:val="717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19">
    <w:name w:val="Heading 2"/>
    <w:basedOn w:val="717"/>
    <w:next w:val="717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1">
    <w:name w:val="Title"/>
    <w:basedOn w:val="717"/>
    <w:next w:val="71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link w:val="741"/>
    <w:uiPriority w:val="10"/>
    <w:rPr>
      <w:sz w:val="48"/>
      <w:szCs w:val="48"/>
    </w:rPr>
  </w:style>
  <w:style w:type="paragraph" w:styleId="743">
    <w:name w:val="Subtitle"/>
    <w:basedOn w:val="717"/>
    <w:next w:val="717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7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50" w:customStyle="1">
    <w:name w:val="Header Char"/>
    <w:uiPriority w:val="99"/>
  </w:style>
  <w:style w:type="paragraph" w:styleId="751">
    <w:name w:val="Footer"/>
    <w:basedOn w:val="717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17"/>
    <w:next w:val="717"/>
    <w:link w:val="75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4" w:customStyle="1">
    <w:name w:val="Название объекта Знак"/>
    <w:link w:val="753"/>
    <w:uiPriority w:val="35"/>
    <w:rPr>
      <w:b/>
      <w:bCs/>
      <w:color w:val="4f81bd" w:themeColor="accent1"/>
      <w:sz w:val="18"/>
      <w:szCs w:val="18"/>
    </w:rPr>
  </w:style>
  <w:style w:type="table" w:styleId="755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7"/>
    <w:next w:val="717"/>
    <w:uiPriority w:val="99"/>
    <w:unhideWhenUsed/>
  </w:style>
  <w:style w:type="paragraph" w:styleId="899">
    <w:name w:val="Body Text"/>
    <w:basedOn w:val="717"/>
    <w:link w:val="923"/>
    <w:pPr>
      <w:ind w:right="3117"/>
    </w:pPr>
    <w:rPr>
      <w:rFonts w:ascii="Courier New" w:hAnsi="Courier New"/>
      <w:sz w:val="26"/>
    </w:rPr>
  </w:style>
  <w:style w:type="paragraph" w:styleId="900">
    <w:name w:val="Body Text Indent"/>
    <w:basedOn w:val="717"/>
    <w:pPr>
      <w:ind w:right="-1"/>
      <w:jc w:val="both"/>
    </w:pPr>
    <w:rPr>
      <w:sz w:val="26"/>
    </w:rPr>
  </w:style>
  <w:style w:type="character" w:styleId="901">
    <w:name w:val="page number"/>
    <w:basedOn w:val="727"/>
  </w:style>
  <w:style w:type="paragraph" w:styleId="902">
    <w:name w:val="Balloon Text"/>
    <w:basedOn w:val="717"/>
    <w:link w:val="903"/>
    <w:uiPriority w:val="99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link w:val="902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Верхний колонтитул Знак"/>
    <w:link w:val="749"/>
    <w:uiPriority w:val="99"/>
  </w:style>
  <w:style w:type="numbering" w:styleId="905" w:customStyle="1">
    <w:name w:val="Нет списка1"/>
    <w:next w:val="729"/>
    <w:uiPriority w:val="99"/>
    <w:semiHidden/>
    <w:unhideWhenUsed/>
  </w:style>
  <w:style w:type="character" w:styleId="906">
    <w:name w:val="FollowedHyperlink"/>
    <w:uiPriority w:val="99"/>
    <w:unhideWhenUsed/>
    <w:rPr>
      <w:color w:val="800080"/>
      <w:u w:val="single"/>
    </w:rPr>
  </w:style>
  <w:style w:type="paragraph" w:styleId="907" w:customStyle="1">
    <w:name w:val="xl65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7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6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69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0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71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2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3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4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5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6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7"/>
    <w:basedOn w:val="71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8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9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Форма"/>
    <w:rPr>
      <w:sz w:val="28"/>
      <w:szCs w:val="28"/>
      <w:lang w:eastAsia="ru-RU"/>
    </w:rPr>
  </w:style>
  <w:style w:type="character" w:styleId="923" w:customStyle="1">
    <w:name w:val="Основной текст Знак"/>
    <w:link w:val="899"/>
    <w:rPr>
      <w:rFonts w:ascii="Courier New" w:hAnsi="Courier New"/>
      <w:sz w:val="26"/>
    </w:rPr>
  </w:style>
  <w:style w:type="paragraph" w:styleId="924" w:customStyle="1">
    <w:name w:val="ConsPlusNormal"/>
    <w:rPr>
      <w:sz w:val="28"/>
      <w:szCs w:val="28"/>
      <w:lang w:eastAsia="ru-RU"/>
    </w:rPr>
  </w:style>
  <w:style w:type="numbering" w:styleId="925" w:customStyle="1">
    <w:name w:val="Нет списка11"/>
    <w:next w:val="729"/>
    <w:uiPriority w:val="99"/>
    <w:semiHidden/>
    <w:unhideWhenUsed/>
  </w:style>
  <w:style w:type="numbering" w:styleId="926" w:customStyle="1">
    <w:name w:val="Нет списка111"/>
    <w:next w:val="729"/>
    <w:uiPriority w:val="99"/>
    <w:semiHidden/>
    <w:unhideWhenUsed/>
  </w:style>
  <w:style w:type="paragraph" w:styleId="927" w:customStyle="1">
    <w:name w:val="font5"/>
    <w:basedOn w:val="7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 w:customStyle="1">
    <w:name w:val="xl8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1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2"/>
    <w:basedOn w:val="71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1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1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1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1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1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1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1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1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1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1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29"/>
    <w:uiPriority w:val="99"/>
    <w:semiHidden/>
    <w:unhideWhenUsed/>
  </w:style>
  <w:style w:type="numbering" w:styleId="975" w:customStyle="1">
    <w:name w:val="Нет списка3"/>
    <w:next w:val="729"/>
    <w:uiPriority w:val="99"/>
    <w:semiHidden/>
    <w:unhideWhenUsed/>
  </w:style>
  <w:style w:type="paragraph" w:styleId="976" w:customStyle="1">
    <w:name w:val="font6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1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1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29"/>
    <w:uiPriority w:val="99"/>
    <w:semiHidden/>
    <w:unhideWhenUsed/>
  </w:style>
  <w:style w:type="character" w:styleId="980" w:customStyle="1">
    <w:name w:val="Нижний колонтитул Знак"/>
    <w:link w:val="75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dudanova-ov</cp:lastModifiedBy>
  <cp:revision>40</cp:revision>
  <dcterms:created xsi:type="dcterms:W3CDTF">2016-08-25T12:19:00Z</dcterms:created>
  <dcterms:modified xsi:type="dcterms:W3CDTF">2025-07-10T11:57:24Z</dcterms:modified>
  <cp:version>983040</cp:version>
</cp:coreProperties>
</file>