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33667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10845" cy="513080"/>
                                      <wp:effectExtent l="0" t="0" r="8255" b="127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0844" cy="513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35pt;height:40.4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ТРАНСПОРТА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05.2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10845" cy="513080"/>
                                <wp:effectExtent l="0" t="0" r="8255" b="127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844" cy="513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35pt;height:40.4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ТРАНСПОРТА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635" b="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" coordorigin="12,53" coordsize="98,4">
                <v:shape id="shape 3" o:spid="_x0000_s3" o:spt="202" type="#_x0000_t202" style="position:absolute;left:12;top:53;width:98;height:4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6;top:53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0;top:53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410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 должностей </w:t>
        <w:br/>
        <w:t xml:space="preserve">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на которые граждане </w:t>
        <w:br/>
        <w:t xml:space="preserve">обязаны представлять сведения о своих </w:t>
        <w:br/>
        <w:t xml:space="preserve">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</w:t>
        <w:br/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</w:t>
        <w:br/>
        <w:t xml:space="preserve">и при замещении которых муниципальные </w:t>
        <w:br/>
        <w:t xml:space="preserve">служащие обязаны представлять сведения </w:t>
        <w:br/>
        <w:t xml:space="preserve">о своих доходах, расходах, об имуществе </w:t>
        <w:br/>
        <w:t xml:space="preserve">и обязательствах имущественного характера, а также сведения о доходах, расходах, </w:t>
        <w:br/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</w:t>
        <w:br/>
        <w:t xml:space="preserve">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</w:t>
        <w:br/>
        <w:t xml:space="preserve">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</w:t>
        <w:br/>
        <w:t xml:space="preserve">супруги (супруга) и несовершеннолетних детей и при замещении которых </w:t>
        <w:br/>
        <w:t xml:space="preserve">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 представлять сведения о своих доходах, </w:t>
        <w:br/>
        <w:t xml:space="preserve">расходах, об имуществе и обязательствах имущественного характера, а также </w:t>
        <w:br/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</w:t>
        <w:br/>
        <w:t xml:space="preserve">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воих доходах,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об имуществе и обязательствах имущественного характера своих </w:t>
        <w:br/>
        <w:t xml:space="preserve">супруги (супруга) и несовершеннолетних детей и при замещении которых </w:t>
        <w:br/>
        <w:t xml:space="preserve">муниципальные служащие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едения о своих доходах, </w:t>
        <w:br/>
        <w:t xml:space="preserve">расходах, об имуществе и обязательствах имущественного характера, а также </w:t>
        <w:br/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 (далее – </w:t>
        <w:br/>
        <w:t xml:space="preserve">Перечень).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"consultantplus://offline/ref=CC17F7C15011C445C4E0081012BF2BB8088DC45C6647D6F2B9BAA72D485C52332F703A8E752689AA433533C6F7A380F25Dy8xCE"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  <w:br/>
        <w:t xml:space="preserve"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сентября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059-12-01-04-6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</w:t>
        <w:br/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февраля 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059-12-01-04-1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департамента транспорта администрации города Перми от 22.09.2020 № 059-12-01-04-6»;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 ноября 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059-12-01-04-3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</w:t>
        <w:br/>
        <w:t xml:space="preserve">департамента транспорта администрации города Перми от 22.09.2020 </w:t>
        <w:br/>
        <w:t xml:space="preserve">№ 059-12-01-04-6»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 июня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059-12-01-04-2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</w:t>
        <w:br/>
        <w:t xml:space="preserve">департамента транспорта администрации города Перми от 22.09.2020 </w:t>
        <w:br/>
        <w:t xml:space="preserve">№ 059-12-01-04-6»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ноября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059-12-01-04-4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транспорта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чении на которые граждане обязаны представлять </w:t>
        <w:br/>
        <w:t xml:space="preserve">сведения о своих доходах, об имуществе и обязательствах имущественного </w:t>
        <w:br/>
        <w:t xml:space="preserve">характера, а также сведения о доходах, об имуществе и обязательствах </w:t>
        <w:br/>
        <w:t xml:space="preserve">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детей и при замещении которых муниципальные служащие обязаны представлять </w:t>
        <w:br/>
        <w:t xml:space="preserve">сведения о своих доходах, расходах, об имуществе и обязательствах </w:t>
        <w:br/>
        <w:t xml:space="preserve">имущественного характера, а также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актера своих супруги (супру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</w:t>
        <w:br/>
        <w:t xml:space="preserve">департамента транспорта администрации города Перми от 22.09.2020 </w:t>
        <w:br/>
        <w:t xml:space="preserve">№ 059-12-01-04-6».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  <w:br/>
        <w:t xml:space="preserve">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Заместителю начальника департамента - 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правового </w:t>
        <w:br/>
        <w:t xml:space="preserve">обеспечения и по общим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  <w:br/>
        <w:t xml:space="preserve">города Перми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</w:t>
        <w:br/>
        <w:t xml:space="preserve">официального опубликования в сетевом издании «Официальный сайт </w:t>
        <w:br/>
        <w:t xml:space="preserve">муниципального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город Пермь www.gorodperm.ru»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администрации города Перми с утвержденным Перечнем под подпись </w:t>
        <w:br/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августа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А.А. Путин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администрации города Перми, при назначении на которые граждане </w:t>
        <w:br/>
        <w:t xml:space="preserve">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 обязательствах имущественного характера своих супруги (супруга) и несовершеннолетних детей и при замещении которых </w:t>
        <w:br/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</w:t>
        <w:br/>
        <w:t xml:space="preserve">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– начальник отдела финансового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за организацией регулярных перевозок;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начальника департамента – начальник отдела правового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обеспечения и по общим вопросам.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 планирования маршрутной сети: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развития транспортной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Отдел пассажирских перевозок: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Отдел финансового контроля за организацией регулярных перевозок: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Отдел правового обеспечения и по общим вопросам: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Сектор по общим вопросам: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/>
        <w:ind w:right="2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1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4"/>
    <w:link w:val="882"/>
    <w:uiPriority w:val="99"/>
  </w:style>
  <w:style w:type="character" w:styleId="725">
    <w:name w:val="Footer Char"/>
    <w:basedOn w:val="874"/>
    <w:link w:val="880"/>
    <w:uiPriority w:val="99"/>
  </w:style>
  <w:style w:type="character" w:styleId="726">
    <w:name w:val="Caption Char"/>
    <w:basedOn w:val="877"/>
    <w:link w:val="880"/>
    <w:uiPriority w:val="99"/>
  </w:style>
  <w:style w:type="table" w:styleId="72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semiHidden/>
  </w:style>
  <w:style w:type="table" w:styleId="87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semiHidden/>
  </w:style>
  <w:style w:type="paragraph" w:styleId="877">
    <w:name w:val="Caption"/>
    <w:basedOn w:val="871"/>
    <w:next w:val="8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link w:val="885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rPr>
      <w:rFonts w:ascii="Segoe UI" w:hAnsi="Segoe UI" w:cs="Segoe UI"/>
      <w:sz w:val="18"/>
      <w:szCs w:val="18"/>
    </w:rPr>
  </w:style>
  <w:style w:type="character" w:styleId="885" w:customStyle="1">
    <w:name w:val="Основной текст Знак"/>
    <w:link w:val="878"/>
    <w:rPr>
      <w:rFonts w:ascii="Courier New" w:hAnsi="Courier New"/>
      <w:sz w:val="26"/>
    </w:rPr>
  </w:style>
  <w:style w:type="character" w:styleId="886" w:customStyle="1">
    <w:name w:val="Заголовок 2 Знак"/>
    <w:link w:val="873"/>
    <w:rPr>
      <w:sz w:val="24"/>
    </w:rPr>
  </w:style>
  <w:style w:type="paragraph" w:styleId="88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sotnikova-ev</cp:lastModifiedBy>
  <cp:revision>6</cp:revision>
  <dcterms:created xsi:type="dcterms:W3CDTF">2024-10-25T08:32:00Z</dcterms:created>
  <dcterms:modified xsi:type="dcterms:W3CDTF">2025-07-14T10:08:10Z</dcterms:modified>
</cp:coreProperties>
</file>