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-488315</wp:posOffset>
                </wp:positionV>
                <wp:extent cx="6285865" cy="1661795"/>
                <wp:effectExtent l="0" t="0" r="635" b="0"/>
                <wp:wrapNone/>
                <wp:docPr id="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9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38150" cy="552450"/>
                                        <wp:effectExtent l="0" t="0" r="0" b="0"/>
                                        <wp:docPr id="2" name="Рисунок 31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Рисунок 11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49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4.50pt;height:43.5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716608;o:allowoverlap:true;o:allowincell:true;mso-position-horizontal-relative:text;margin-left:0.10pt;mso-position-horizontal:absolute;mso-position-vertical-relative:text;margin-top:-38.4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19;v-text-anchor:top;visibility:visible;" fillcolor="#FFFFFF" stroked="f">
                  <v:textbox inset="0,0,0,0">
                    <w:txbxContent>
                      <w:p>
                        <w:pPr>
                          <w:pStyle w:val="939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38150" cy="552450"/>
                                  <wp:effectExtent l="0" t="0" r="0" b="0"/>
                                  <wp:docPr id="2" name="Рисунок 31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49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4.50pt;height:43.50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0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r/>
      <w:r/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регламента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предоставления департаментом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социальной политики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города Перми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мероприятий по обеспечению жильем</w:t>
      </w:r>
      <w:r>
        <w:rPr>
          <w:rFonts w:ascii="Times New Roman Полужирный" w:hAnsi="Times New Roman Полужирный"/>
          <w:b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Законом Пермской области от 30.11.2005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постановлением Правительства Пермского края от 01.04.2014 № 215-п «О реализации мероприятий по обеспечению жильем молодых семей в Пермском крае»,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решением Пермской городской Думы от 12 сентября 2006 г. № 221 «О департаменте социальной политики администрации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Порядком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разработки и утверждения административных регламентов предоставления муниципальных услуг, утвержденным постановлением администрации города Перми от 30 декабря 2013 г. № 1270,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6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Утвердить прилагаемый Административный регл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амент предоставления департаментом социальной политики администрации города Перми муниципальной услуги «Признание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по обеспечению жильем».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Департаменту социальной политики администрации города Перми обеспечить: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змещение на официальном сайте муниципального образования город Пермь в информационно-телекоммуникационной сети Интернет (далее – Официальный сайт), в том числе в разделе «Муниципальные услуги»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 в течение 5 рабочих дней со дня его утверждения;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размещение информации о муниципальной услуге в Реестре муниципальных услуг, предоставляемых администрацией города Перми, в установленном администрацией города Перми порядке, не позднее 3 рабочих дней со дня вступления в силу настоящего постановления;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заключение соглашения о взаимодействии с государственным бюджетным 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реждением Пермского края «Пермский краевой многофункциональный центр предоставления государственных и муниципальных услуг» (далее – МФЦ) по предоставлению муниципальной услуги в течение 30 календарных дней со дня вступления в силу настоящего постановления;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разработку технологической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хемы оказания муниципальной услуги, переданной для предоставления в МФЦ (далее – технологическая схема), направление технологической схемы в адрес МФЦ и размещение на Официальном сайте с указанием ее статуса в течение 30 календарных дней со дня вступления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силу настоящего постановления.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 дня официального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опубликования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печатном средстве массовой информации «Официальный бюллетень органов местного самоуправления муниципально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Управлению по общим вопр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933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8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line="28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департаментом социальной политики администрации города Перми муниципальной услуги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«Признание нуждающимися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t xml:space="preserve">в улучшении жилищных условий молодых семей, желающих принять участие в реализации мероприятий по обеспечению жильем»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Административный регламент предоставления департаментом социальной политики администрации города Перми муниципальной услуги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по обеспечению жильем»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Административный регламент, Департамент, муниципальная услуга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определяет стандарт и порядок предоставления муниципальной услуги Департаментом.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1.2. Заявителем на получение муниципальной услуги является молодая семья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семья, состоящая из супругов или из супруго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одного и более детей (родных или усыновленных),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том числе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где один из супругов не является гражданином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неполная молодая семья, состоящая из одного молодого родителя, являющегося гражданином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одного ребенка и более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при условии, что возраст 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ждого из супругов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молодого родителя) не превышает 35 лет (включительно)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заявитель),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постоянное место жительства (регистрации) всех членов молодой семьи на территории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1.3. Понятия молодая семья, члены молодой семьи, члены семьи применяются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чениях, указанных в пункте 1.1 Порядка признания нуждающимися в 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лучшении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жилищных условий молодых семей, желающих принять участие в реализации мероприятий по обеспечению жильем молодых семей в Пермском крае, утвержденном постановлением Правительства Пермского края от 01 апреля 2014 г. № 215-п (далее – Порядок № 215-п).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1.4. Нуждающимися в улучшении жилищных условий признаются молодые семьи в соответствии с пунктом 2 Порядка № 215-п.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1.5.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Департамент предоставляет муниципальную услугу через отдел </w:t>
        <w:br/>
        <w:t xml:space="preserve">по работе с гражда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нами (далее – ОРГ Департамента).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по обеспечению жильем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осуществляется на основании заявления о предоставлении муниципальной услуги, поданного по месту жительства (регистрации) всех членов молодой семьи (далее – заявление).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 может быть подано представителем заявителя при наделении его полномочиями в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1.7. Заявление направляется в Департамент в электронном виде посредством федеральной государственной информационной системы «Единый портал государственных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муниципальных услуг (функций)» (далее – Единый портал), в том числе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государственного бюджетного 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реждения Пермского края «Пермский краевой многофункциональный центр предоставления государственных и муниципальных услуг» (далее - МФЦ), а также может быть направлено в форме документа, оформленного на бумажном носителе через МФЦ, оператора почтовой связи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почтовый </w:t>
      </w:r>
      <w:r>
        <w:rPr>
          <w:rFonts w:ascii="Times New Roman" w:hAnsi="Times New Roman" w:cs="Times New Roman"/>
          <w:sz w:val="28"/>
          <w:szCs w:val="28"/>
        </w:rPr>
        <w:t xml:space="preserve">адрес Департамента,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личного приема в ОРГ Департамента соответствии с графиком работы ОРГ Департамен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Место нахождения, адрес юридического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почтовый адрес Департамента: 614015, г. Пермь, ул. Газеты «Звезда», д 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График работы Департамента: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понедельник-четверг: с 09.00 час. до 18.00 час.;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с 09.00 час. до 17.00 час.;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перерыв: с 13.00 час. до 13.48 час.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Место нахождения, график работы,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справочные телефоны ОРГ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Департамента приведены в приложении 1 к настоящему 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1.10. Информация о месте нахождения, графике работы Департамента, ОРГ Департамента справочных телефонах, адресах электронной почты содержится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официальном сайте муниципального образования город Пермь: https://www.gorodperm.ru (далее - официальный сайт).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1.11. 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 https://mfc.permkrai.ru.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1.12. Консультирование заявителей о порядке предоставления муниципальной услуги, о ходе выполнения заявления, а также по иным вопросам, связанным с предоставлением муниципальной, осуществляется: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сотрудниками ОРГ Департамента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справочным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елефонам, указанным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приложении 1 к настоящему Административному регламенту,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с графиком работы ОРГ 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сотрудниками МФЦ, в том числе по телефону: (342) 270-11-20,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соответствии с графиком работы МФЦ, а также иными способами, доступными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МФЦ.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1.13. На официальном сайте размещается: настоящий Админ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истративный регламент, порядок обжалования заявителем решений и действий (бездействия) Департамента, должностного лица Департамента, муниципального служащего Департамента, порядок обжалования заявителем решений и действий (бездействия) МФЦ, работника МФЦ.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1.14. На информационных стендах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размещается информация в соответствии с требованиями к помещениям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Департамента, в которых предоставляется муниципальная услуга.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1.15. 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II. Стандарт предоставления муни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Полное наименование муниципальной услуги «П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ризнание нуждающимися в улучшении жилищных условий молодых семей, желающих принять участие в реализации мероприятий по обеспечению жильем»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 Полное наименование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«Департамент социальной политики администрации города Перми».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 признании молодой семьи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нуждающейся в улучшении жилищных условий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– решение о признании)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шение об отказе в признании молодой семьи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нуждающейся в улучшении жилищных условий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– решение об отказе в признании)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Молоды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емьи, улучшившие свои жилищные усло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вия посредством приобретения (стр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оительства) жилого помещения с использованием средств, полученных по жилищному кредиту, в том числе ипотечному, или жилищному займу, признаются нуждающимися в улучшении жилищных условий на момент заключения кредитных договоров (договоров займа), в том числ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ипотечного, на приобретение жилого помещения или строительство жилого дома в случае заключения договора на получение средств по жилищному кредиту, в том числе ипотечному, или жилищному займу на приобретение жилого помещения или строительство жилого дома.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0" w:name="Par135"/>
      <w:r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Способы получения результата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2.4.1. в заявлении заявитель указывает один из предусмотренных формой заявления способов получения результата предоставления муниципальной услуги;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2.4.2. 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заявление направлено в Департамент;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2.4.3. результат предоставления муниципальной услуги направляется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личный кабинет заявителя на Едином портале в форме электронного документа, подписанного должностным лицом Департамента, уполномоченным на принятие решения по предоставлению муниципальной услуги (далее - должностное лицо Департ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амента), с использованием усиленной квалифицированной электронной подписи (далее – УКЭП) вне зависимости от способа обращения заявителя за предоставлением муниципальной услуги и способа направления Заявителю результата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2.5. Срок предоставления муниципальной услуги Департаментом – не более 25 календарных дней с даты поступления заявления в Департамент. Срок приостановления муниципальной услуги действующим законодательством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установлен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2.6. Исчерпывающий перечень документов, необходимых для предоставления муниципальной услуги (далее - документы), представляемых заявителем самостоятельно: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0"/>
        <w:ind w:right="40" w:firstLine="709"/>
        <w:jc w:val="both"/>
        <w:spacing w:before="0" w:after="0" w:line="240" w:lineRule="auto"/>
        <w:shd w:val="clear" w:color="auto" w:fill="auto"/>
        <w:tabs>
          <w:tab w:val="left" w:pos="1738" w:leader="none"/>
        </w:tabs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заявление, заполненное с использованием формы, реализованной на Едином портале, при обращении за предоставлением муниципальной услуги посредством Единого портала либо в форме документа, оформленного на бумажном носителе, согласно приложению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настоящему Административному регламенту при </w:t>
      </w:r>
      <w:r>
        <w:rPr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sz w:val="28"/>
          <w:szCs w:val="28"/>
          <w:highlight w:val="white"/>
        </w:rPr>
        <w:t xml:space="preserve">связи, в ходе личного приема в ОРГ Департамента;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по форме (№1 или № 2) о цели использования социальной выплаты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согласно приложению 3 к настоящему Административному регламенту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связи, в ходе личного приема в ОРГ Департамента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по форме согласно приложению 4 к настоящему Административному регламенту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постоянного про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живания на дату подачи заявления и пакета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связи, в ходе личного приема в ОРГ Департамента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 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настоящему Административному регламенту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постоянного проживания на дату заключения договора на получение ипотечного кредита, в том числе ипотечного, или жилищного 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заполняется при наличии указанного кредита, займа)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связи, в ходе личного приема в ОРГ Департамента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документов, удостоверяющих личность каждого члена семьи;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свидетельств о рождении детей для лиц, имеющих несовершеннолетних детей, выданных компетентным органом иностранного государства, (предоставляются с копиями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о заключении (расторжении) брака заявителя, выданный компетентным органом иностранного государства (предоставляется с копией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</w:t>
        <w:br/>
        <w:t xml:space="preserve">за предоставлением муниципальной услуги представителя заявителя;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документ, подтверждающий полномочия представителя заявителя </w:t>
        <w:br/>
        <w:t xml:space="preserve">(при обращении за предоставлением муниципальной услуги представителя заявителя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</w:t>
      </w:r>
      <w:r>
        <w:rPr>
          <w:rFonts w:ascii="Times New Roman" w:hAnsi="Times New Roman" w:cs="Times New Roman"/>
          <w:sz w:val="28"/>
          <w:szCs w:val="28"/>
        </w:rPr>
        <w:t xml:space="preserve">окументов, подтверждающих право пользования жилым помещением, занимаемым членами молодой семьи (договор, ордер,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жилого помещения, судебное решение о вселении 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олодые семьи, улучшившие свои жилищные условия посредством приобретения (строительства) жилого помещения с использованием средств, полученных по жилищному кредиту, в том числе ипотечному,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жилищному займу, представляют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указанные документы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места постоянного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живания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дату подачи заявления на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места постоянного проживания на дату заключения договора на получение ипотечного кредита,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числе ипотечного, или жилищного займа для приобретения жилого помещения или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заверенной организацией технической инвентаризации выписки из технического паспорта с поэтажным планом (при наличии) и экспликацией жилых помещений, занимаемых членами молодой 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</w:t>
      </w:r>
      <w:r>
        <w:rPr>
          <w:rFonts w:ascii="Times New Roman" w:hAnsi="Times New Roman" w:cs="Times New Roman"/>
          <w:sz w:val="28"/>
          <w:szCs w:val="28"/>
        </w:rPr>
        <w:t xml:space="preserve">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его семьи до 30 января 1998 года;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справки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 изменении фамилии каждым членом молодой семьи, если фамилия изменялась в течении пяти лет, предшествующих дате подачи заявления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2.7. Исчерпывающий перечень документов, представляемых заявителем самост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оятельно в отдельных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молодая семья ведет раздельное хозяйство с членами семьи на совместно занимаемой жилой площади, молодая семья представляет копию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документа о порядке пользования жилым помещением (договора,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соглашения или иного документа), составленного в установленном законодательством порядке;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члены молодой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семьи, имеющие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представляют копию документа, подтверждающего наличие тяжелой формы хронического заболевания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соответствии с Перечнем тяжелых форм хронических заболеваний, при которых невозможно совместное проживание граждан в одной квартире, утвержденным приказом Минздрава России от 29 ноября 2012 г. № 987н.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2.8. Перечень документов и сведений, которые заявитель вправе представить по собственной инициативе, так как они подлежат представлению в рамка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межведомственного информационного взаимодействия: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справка об изменении фамилии, имени, отчества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аждым из 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ленов молодой семьи, если фамилия изменялась в течение пяти лет, предшествующих дате подачи заявления 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записи актов гражданского состояния);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свидетельство о рождении несовершеннолетних членов 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записи актов гражданского состояния)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свидетельство о смерти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членов семьи (при наличии)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записи актов гражданского состояния)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свидетельство о заключении (расторжении) брака заявителя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записи актов гражданского состояния)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адресные справки о регистрации по месту жительства заявителя и всех членов 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Министерства внутренних дел Российской Федерации);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адресные справки о лицах, зарегистрированных по месту жительства заявителя и членов его семьи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сведения в рамках межведомственного взаимодействия запрашиваются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правоустанавливающих документов на объекты недвижимости, права на которые зарегистрированы в Едином государственном реестре недвижимости;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(сведения о правах на жилое помещение заявителя и всех членов семьи в рамках межведомственного взаимоодействия запрашиваются из Федеральной службы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картографии);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202122"/>
          <w:sz w:val="28"/>
          <w:szCs w:val="28"/>
          <w:highlight w:val="white"/>
        </w:rPr>
        <w:t xml:space="preserve">страховой номер индивидуального лицевого счёта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застрахованного лица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каждого члена молодой семьи (сведения об индивидуальном (персонифицированном) учете заявителя и всех членов 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межведомственного взаимодействия запрашиваются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Фонда пенсионного и социального страхования Российской Федерации).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2.9. Департамент не вправе требовать от заявителя: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представления документов и информации или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>
        <w:rPr>
          <w:rFonts w:ascii="Times New Roman" w:hAnsi="Times New Roman" w:cs="Times New Roman"/>
          <w:sz w:val="28"/>
          <w:szCs w:val="28"/>
        </w:rPr>
        <w:t xml:space="preserve">находятся в распоряжении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Федеральный закон № 210-ФЗ) государственных и муниципальных услуг,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актами, за исключением документов, включенных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в Департамент по собственной инициативе;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</w:t>
      </w:r>
      <w:r>
        <w:rPr>
          <w:rFonts w:ascii="Times New Roman" w:hAnsi="Times New Roman" w:cs="Times New Roman"/>
          <w:sz w:val="28"/>
          <w:szCs w:val="28"/>
        </w:rPr>
        <w:t xml:space="preserve"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за исключением случаев, установленных пунктом 4 части 1 статьи 7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2.10. Требования к оформлению заявления и документов, представляемых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электронном виде посредством Единого портала: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2.10.1. требования к заявлению: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формируется с использованием формы, реализованной на Едином портале;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документах, сведениях,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2.10.2. требования к документам: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электронные документы, электронные образы документов направляются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виде файлов в форматах ipeg, jpg, pdf, png или иных форматах, доступных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Едином портале;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образ документа должен быть заверен УКЭП лица, уполномоченного на создание и подписание таких документов на бумажном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носителе, либо УКЭП нотариуса с обязательным приложением файла отсоединенной электронной подписи для проверки УКЭП в формате SIG;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образ документа должен воспроизводить оригинал документа;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Средства электронной подписи должны соответствовать требованиям 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йствующего законодательства об электронной подписи.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2.11. Если представленные электронные образы документов не заверены УКЭП, заявитель представляет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оригиналы электронных образов документов в течение 3 рабочих дней со дня направления заявления в Департамент.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Департамента, осуществляющий проверку заявления и документов, обязан уведомить заявителя о необходимости представления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оригиналов электронных образов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 представлении заявителем оригиналов электронных образов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осуществляющим проверку заявления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 документов, проводится сверка электронных образов документов с их оригиналами.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электронные образы документов не воспроизводят их оригиналы,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уществляющий проверку заявления и документов, копирует оригиналы документов, после чего возвращает оригиналы документов заявителю.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представил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партамента оригиналы электронных образов документов в течение срока, указанного в абзаце первом пункта 2.11 настоящего Административного регламента, заявителю отказывается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предоставлении муниципальной услуги по основанию, предусмотренному пунктом 2.15.4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2.13. Требования к оформлению заявления и документов, представляемых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2.13.1. требования к заявлению: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обращении за предоставлением услуги через МФЦ, оператора почтовой связи, в ходе личного приема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Департамента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может быть заполнено от руки или подготовлено машинописным способом;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в полях формы заявления заполняется разборчиво, без сокращений. Фамилия, имя и отчество (при наличии), адрес, а также иные данные о заявителе должны быть идентичны тем, что указаны в документах,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должно иметь серьезных повреждений, наличие которых не позволяет воспроизвести и истолковать его содержание;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2.13.2. требования к документам: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должны содержать приписок, зачеркнутых слов, иных графических элементов, не позволяющих воспроизвести и истолковать содержание документа, быть исполнены карандашом;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листы представляемых документов должны быть пронумерованы;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документов, представляемых заявителем в МФЦ, через оператора почтовой связи, в ходе личного приема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 Исчерпывающий перечень оснований для отказа в приеме документов: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2.14.1. документы направлены (поданы) способом, не предусмотренным пунктом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1.7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астоящего Адм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инистративного регламента;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представлены документы, предусмотренные пунктами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2.6, 2.7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Административного регламента, обязанность по представлению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которых возложена на заявителя;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2.14.3. представленные заявителем документы, не соответствуют требованиям, установленным пунктами 2.10, 2.12, 2.13 настоящего Административного регламента, утратили силу на день направления (подачи) заявителем заявления;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олодая се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мья не соответствует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указанным в пунктах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2.15. 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2.15.1. недостоверность сведений, содержащихся в представленных документах;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2.15.2. представленные документы не подтверждают право молодой семьи быть признанной нуждающейся в улучшении жилищных условий по основаниям, предусмотренным пунктом 2 Порядка № 215-п;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2.15.3. не истек пятилетий срок с момента совершения действий, которые привели к ухудшению членами семьи жилищных условий молодой семьи,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в результате которых такая молодая семья может быть признана нуждающейся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в улучшении жилищных условий.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Действия, приведшие к ухудшению членами семьи жилищных условий молодой семьи, определены Законом Пермской области от 30.11.2005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2.15.4. не представлены оригиналы электронных образов документов в срок, установленный в пункте 2.11 настоящего Административного регламента (в случае если документы направлены заявителем посредством Единого портала).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2.16. Основания для приостановления предоставления муниципальной услуги не предусмотрены действующим законодательством.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2.17. Муниципальная услуга предоставляется бесплатно.</w:t>
      </w:r>
      <w:bookmarkStart w:id="1" w:name="Par149"/>
      <w:r/>
      <w:bookmarkStart w:id="2" w:name="Par159"/>
      <w:r/>
      <w:bookmarkEnd w:id="1"/>
      <w:r/>
      <w:bookmarkEnd w:id="2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2.18. Максимальный срок ожидания в очереди при направлении заявителем заявления через МФЦ,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ходе личного приема в ОРГ Департамента, получении результата предоставления муниципальной услуги в МФЦ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в ОРГ Департамента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не может превышать 15 минут.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2.19.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Регистрация заявления осуществляется не позднее 1 рабочего дня с даты поступления заявления в Департамент.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 Требования к помещения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помещение)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2.20.1. вход в здание, в котором располагается ОРГ Департамента, должен быть оборудован информационной табличкой (вывеской), содержащей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именование ОРГ Департамента;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помещение оснащается стульями (скамьями) для ожидания Заявителями возможности направления (подачи)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2.20.3. помещение оснащается стульями (скамьями), столами (стойками) для оформления документов, канцелярскими принадлежностями;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20.</w:t>
      </w:r>
      <w:r>
        <w:rPr>
          <w:rFonts w:ascii="Times New Roman" w:hAnsi="Times New Roman" w:cs="Times New Roman"/>
          <w:sz w:val="28"/>
          <w:szCs w:val="28"/>
        </w:rPr>
        <w:t xml:space="preserve">4. в помещении размещаются информационные стенды с карманами фор</w:t>
      </w:r>
      <w:r>
        <w:rPr>
          <w:rFonts w:ascii="Times New Roman" w:hAnsi="Times New Roman" w:cs="Times New Roman"/>
          <w:sz w:val="28"/>
          <w:szCs w:val="28"/>
        </w:rPr>
        <w:t xml:space="preserve">мата А4, заполняемые образцами з</w:t>
      </w:r>
      <w:r>
        <w:rPr>
          <w:rFonts w:ascii="Times New Roman" w:hAnsi="Times New Roman" w:cs="Times New Roman"/>
          <w:sz w:val="28"/>
          <w:szCs w:val="28"/>
        </w:rPr>
        <w:t xml:space="preserve">аявлений с разбивкой по типу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аявителя, образцами заполнения документов, текстом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</w:t>
      </w:r>
      <w:r>
        <w:rPr>
          <w:rFonts w:ascii="Times New Roman" w:hAnsi="Times New Roman" w:cs="Times New Roman"/>
          <w:sz w:val="28"/>
          <w:szCs w:val="28"/>
        </w:rPr>
        <w:t xml:space="preserve">егламента, порядком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(подачи) з</w:t>
      </w:r>
      <w:r>
        <w:rPr>
          <w:rFonts w:ascii="Times New Roman" w:hAnsi="Times New Roman" w:cs="Times New Roman"/>
          <w:sz w:val="28"/>
          <w:szCs w:val="28"/>
        </w:rPr>
        <w:t xml:space="preserve">аявления.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оформление в виде тематической папки;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2.20.5. место для направления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аявления и документов в электронном виде;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инвалидам, иным маломобильным группам населения обеспечиваются следующие условия доступности к помещениям и месту для направления (подачи) заявления и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беспрепятственный вход в помещения и выход из них;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самостоятельное передвижение по территории, прилегающей к зданию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посадки в транспортное средство и высадки из него перед входом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том числе с использованием кресла-коляски и при необходимости с помощью работников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собаки-проводника;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помощи работниками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в направлении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(подачи)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аявления и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2.21. Показатели доступности и качества предоставления мунциипальной услуги: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МФЦ, оператора почтовой связи, в ходе личного приема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соблюдение сроков предоставления муниципальной услуги, а 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кже сроков выполнения административных процедур, установленных настоящим Административным регламентом;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обоснованных жалоб заявителей на решения и действия (бездействия) Департамента, должностного лица Департамента, муниципального служащего Департамента, участвующих в предоставлении муниципальной услуги;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 Иные требования и особенности предоставления Услуги: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2.22.1.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подаче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заявления и получении результатов предоставления муниципальной услуги в МФЦ,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личного приема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заявитель (представитель заявителя) представляет работнику МФЦ, ОРГ Департамента паспорт или иной документ, удостоверяющий личность заявителя (представителя заявителя), в целях идентификации его личности;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2.22.2. при обращении за предоставлением муниципальной услуги через МФЦ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ходе личного приема в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МФЦ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обязан проверить копии представленных заявителе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документов (за исключением нотариально заверенных) на соответствие их оригиналам;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2.22.3.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аявитель вправе в течение срока предоставления муниципальной услуги направить в Департамент,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  <w:t xml:space="preserve"> </w:t>
      </w: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III. Административные процедуры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 Предоставление муниципальной услуги включает следующие административные процедуры (далее – процедура):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3.1.1. проверка документов и регистрация заявления;</w:t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3.1.2. рассмотрение документов;</w:t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3.1.3. проверка документов и принятие решения о предоставлении либо об отказе в предоставлении муниципальной услуги;</w:t>
      </w:r>
      <w:r>
        <w:rPr>
          <w:rFonts w:ascii="Times New Roman" w:hAnsi="Times New Roman" w:cs="Times New Roman"/>
          <w:strike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3.1.4. направление (выдача)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 Проверка документов и регистрация заявления: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3.2.1. основанием для начала выполнения процедуры является поступление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Департамента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3.2.2. ответственным за выполнение процедуры является работник ОРГ Департамента, в чьи должностные обязанности входит прием документов (далее – работник ОРГ Департамента, ответственный за прием);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3.2.3. работник ОРГ Департамента, ответственный за прием, осуществляет проверку документов на наличие оснований для отказа в приеме документов, предусмотренных пунктом 2.14 настоящего Административного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3.2.4. при наличии оснований для отказа в приеме документов работник ОРГ Департамента, ответственный за прием: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заносит сведения о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подсистему «Автоматизированное рабочее место государственных и муниципальных услуг» единой централизованной сервисной платформы государственных и муниципальных услуг (функций) Пермского края (далее – государственная информационная система Пермского края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(если документы поступили в ОРГ Департамента через МФЦ, оператора почтовой связи, в ходе личного приема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подготавливает проект решения об отказе в приеме заявления и документов с указанием всех оснований, выявленных в ходе проверки 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 рекомендациями по их устранению;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проект решения об отказе в приеме заявления и документов на рассмотрение и подписание должностному лицу Департамента;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 подписание проекта решения об отказе в приеме заявления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 документов. Должностное лицо Департамента подписывает проект решения об отказе в приеме заявления и документов с использованием УКЭП в срок, указанный в пункте 3.2.7 настоящего Административного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в личный кабинет заявителя на Едином портале решение об отказе в приеме заявления и документов, а также статус оказания муниципальной услуги об отказе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заявителем выбран способ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МФЦ,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через оператора почтовой связи, работник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ответственный за прием, направляет решение об отказе в приеме заявления и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МФЦ,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через оператора почтовой связи на почтовый адрес зая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вителя, указанный в заявлении,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1 рабочего дня со дня принятия решения об отказе в приеме заявления и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заявителем выбран способ получения результата предоставления муниципальной услуги в ОРГ Департамента, работник ОРГ Департамента, ответственный за прием, выдает решение об отказе в приеме заявления и документов в день обращения заявителя в ОРГ Департамента.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и документов направляется для выдачи заявителю </w:t>
      </w:r>
      <w:r>
        <w:rPr>
          <w:rFonts w:ascii="Times New Roman" w:hAnsi="Times New Roman" w:cs="Times New Roman"/>
          <w:sz w:val="28"/>
          <w:szCs w:val="28"/>
        </w:rPr>
        <w:t xml:space="preserve">(выдается заявителю)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абзацем </w:t>
      </w:r>
      <w:r>
        <w:rPr>
          <w:rFonts w:ascii="Times New Roman" w:hAnsi="Times New Roman" w:cs="Times New Roman"/>
          <w:sz w:val="28"/>
          <w:szCs w:val="28"/>
        </w:rPr>
        <w:t xml:space="preserve">седьмым настоящего пункта, в виде бумажной копии электронного документа, заверенной должностным лицом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муниципальной услуги через МФЦ отказ в приеме заявления и документов заявителю выдает </w:t>
      </w:r>
      <w:r>
        <w:rPr>
          <w:rFonts w:ascii="Times New Roman" w:hAnsi="Times New Roman" w:cs="Times New Roman"/>
          <w:sz w:val="28"/>
          <w:szCs w:val="28"/>
        </w:rPr>
        <w:t xml:space="preserve">работник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осуществляющий проверку заявления и документов на наличие оснований для отказа в приеме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исключением отказа в оказании муниципальной услуги по основани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ям, указанн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пунктах 2.15.1-2.15.4 настоящего Административного регламента.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3.2.5. при отсутствии оснований для отказа в приеме заявления и документов работник ОРГ Департамента, ответственный за прием: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заносит сведения о заявлении в государственную информационную систему Пермского края (если документы поступили в ОРГ Департамента через МФЦ, оператора почтовой связи, в ходе личного приема);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в личный кабинет заявителя на Едином портале статус оказания муниципальной услуги о регистрации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рассмотрение заявления и документов в порядке, установленном пунктом 3.3 настоящего Административного регламента (далее – работник, ответственный за рассмотрение документов);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3.2.6. результатом выполнения процедуры является регистрация заявления либо отказ в приеме заявления и документов;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3.2.7. срок выполнения процедуры – не более 2 рабочих дней со дня поступления заявления и документов в Департамент.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и документы, поступившие в рабочие дни после 16 часов, считаются поступившими на следующий рабочий день.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 Рассмотрение документов: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3.3.1. ответственным за выполнение процедуры является работник, ответственный за рассмотрение документов;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3.3.2. основанием для начала процедуры является регистрация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3.3.3. работник, ответственный за рассмотрение документов: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уведомляет заявителя о необходимости представления в ОРГ Департамента оригиналов электронных образов документов, в то числе направляет в личный кабинет заявителя на Едином портале статус оказания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о необходимости предоставления оригиналов электронных образов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документы направлены заявителем посредством Единого портала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 направление межведомственных запросов в целях получения документов и сведений, указанных в пункте 2.8 настоящего Административного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рассмотрение заявления и документов на наличие оснований для отказа в предоставлении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3.3.4. по результатам рассмотрения заявления и документов работник ОРГ Департамента, ответственный за прием: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подготавливает проект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проект решения об отказе в признании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передает подготовленный проект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документы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работнику ОРГ Департамента, в чьи должностные обязанности входит проверка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комплектность, соответствие требованиям, предъявляемым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оформлению заявления и документов, представляемым в Департамент, наличию оснований для отказа в предоставлении муниципальной услуги (далее – работник ОРГ Департамента, осуществляющий проверку документов).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3.3.5. Результатом выполнения процедуры является подготовка проекта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проекта решения об отказе в признании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передача проекта решения,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документов работнику ОРГ Департамента, осуществляющему проверку документов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3.3.6. срок выполнения процедуры – не более 15 календарных дней со дня рассмотрение заявления и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 Проверка документов и принятие решения о предоставлении муниципальной услуги либо об отказе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3.4.1. основанием для начала выполнения процедуры является поступление подготовленного проекта решения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документов работнику ОРГ Департамента, осуществляющему проверку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3.4.2. Работник ОРГ Департамента, осуществляющий проверку документов,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соответствии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комплектности, требованиям, предъявляемым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оформлению заявления и документов, представляемым в Департамент, а также в зависимости от наличия либо отсутствия оснований для отказа в предоставлении муниципальной услуги: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передает подготовленный проект решения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подписание Должностному лицу 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Должностное лицо Департамента подписывает подготовленный проект решения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УКЭП в срок, указанный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3.4.3. срок выполнения процедуры – не более 5 календарных дней со дня поступления проекта решения, а также документов работнику ОРГ Департамента, осуществляющему проверку документов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3.4.3. Работник ОРГ Департамента, ответственный за прием, после подписания Должностным лицом Департамента проекта решения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в личный кабинет заявителя на Едином портале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 признании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об отказе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признании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статус оказания муниципальной услуги - «о предоставлении муниципальной услуги» либо «об отказе в предоставлении муниципальной услуги»;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 заверение бумажной копии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признании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либо копии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об отказе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ОРГ Департамента);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3.4.4. Результатом выполнения процедуры является: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направление решения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 в признании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личный кабинет заявителя на Едином портале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заверение бумажной копии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признании 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ОРГ Департамента);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3.4.5. Срок выполнения процедуры – не более 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календарного дня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 дня поступления проекта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проекта решения об отказе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признании, работнику ОРГ Департамента,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ответственному за прием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 Направление (выдача) результата предоставления муниципальной услуги на бумажном носителе.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3.5.1. основанием для начала выполнения процедуры является заверение должностным лицом Департамента бумажной копии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 в признании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3.5.2. ответственным за выполнение процедуры является работник ОРГ Департамента, ответственный за прием;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3.5.3. Работник ОРГ Департамента, ответственный за прием, в зависимости от выбранного заявителем способа получения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" w:name="_GoBack"/>
      <w:r>
        <w:rPr>
          <w:highlight w:val="white"/>
        </w:rPr>
      </w:r>
      <w:bookmarkEnd w:id="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2 календарных дней со дня подписания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об отказе в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соответствующее решение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МФЦ для выдачи заявителю, либо через оператора почтовой связи на почтовый адрес заявителя, указанный в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аявлении;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признании либо решени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 отказе в призн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день обращения заявителя в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 предоставления муниципальной услуги направляется (выдается) заявителю в случаях, установленных настоящим пунктом, в виде бумажной копии электронного документа, заверенной должностным лицом Департамента.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3.5.4. Результатом выполнения процедуры является направление (выдача)  решения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признании либо решени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 отказе в призн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аявителю.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3.5.5. Срок выполнения процедуры – не более 2 календарных дней со дня заверения бумажной копии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 в признании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случаях, установленных абзацем вторым настоящего пункта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регламенту департамента социальной политики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№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месте нахождения, графике работы отдела по работе с гражданами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br/>
        <w:t xml:space="preserve">департамента социальной политики 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685"/>
        <w:gridCol w:w="32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Адрес и телефон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График работы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685"/>
        <w:gridCol w:w="325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Дзержинский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Кировский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Мотовилихинский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Свердловский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Пермь,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ул. Комсомольский проспект, д. 71, каб. 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телефоны: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236-10-36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244-21-21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244-13-13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244-30-90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18.00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17.00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13.00 час. до 14.00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Орджоникидзевский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ул. Александра Щербакова, д. 24, каб. 103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телефон: (342)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263-52-21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18.00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17.00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13.00 час. до 14.00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2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социальной политики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№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5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 департамент социальной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(Ф.И.О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предоставлении муниципальной услуги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Приз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нание нуждающимися в улучшении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илищных условий молодых семей,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желающи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х принять участие в реализации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мероприятий по обеспечению жильем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ind w:firstLine="285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связи с 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(указать причины нуждаемости в жилых помещениях)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проживание в помещении, не отвечающем установленным для жилых помещений требованиям;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обеспеченность общей площадью жилого помещения на одного члена семьи менее учетной нормы;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другие основания, установленные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статьей 51 Ж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илищного кодекса Российской Федерации,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прошу признать мою семью нуждающейся в улучшении жилищных условий.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Состав семьи: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75"/>
        <w:gridCol w:w="1185"/>
        <w:gridCol w:w="2250"/>
        <w:gridCol w:w="1290"/>
        <w:gridCol w:w="281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ФИО, дата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Паспортные данные (серия, номер, кем и когда выдан)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СНИЛС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регистрации по данному адресу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2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2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2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2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2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380"/>
        <w:gridCol w:w="1875"/>
        <w:gridCol w:w="3397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ind w:firstLine="285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 и члены моей семьи занимаем 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370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(комнату, квартиру)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жилой/общей площадью ______ кв. метров, расположенную по адресу: 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Других жилых помещений я и члены семьи не имеем (имеем)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(указать иные, кроме занимаемого, жилые помещения, в том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числе принадлежащие на праве собственности)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Гражданско-правовых сделок с жилыми помещениями за последние 5 лет я и члены моей семьи не совершали (совершали).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 и члены моей семьи подтверждаем достоверность и полноту сведений, указанных в представленных документах.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 и члены моей семьи даем согласие на проверку органами, осуществляющими принятие настоящего заявления, указанных в заявлении сведений.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 заявлению прилагаются следующие документы: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___________________________________________________________________;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(наименование, дата и номер документа, кем выдан)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___________________________________________________________________;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(наименование, дата и номер документа, кем выдан)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___________________________________________________________________;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(наименование, дата и номер документа, кем выдан)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___________________________________________________________________;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(наименование, дата и номер документа, кем выдан)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142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(наименование, дата и номер документа, кем выдан)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Заявление и прилагаемые к нему документы представлены согласно требованиям Порядка признания нуждающимися в улучшении жилищных условий молодых семей, желающих прин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ять участие в реализации мероприятий по обеспечению жильем молодых семей в Пермском крае, утвержденного постановлением Правительства Пермского края от 01 апреля 2014 г. N 215-п «О реализации мероприятий по обеспечению жильем молодых семей в Пермском крае».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285"/>
              <w:jc w:val="both"/>
              <w:spacing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highlight w:val="white"/>
              </w:rPr>
              <w:t xml:space="preserve">Выбирается следующий способ предоставления результата муниципальной услуги: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firstLine="285"/>
              <w:jc w:val="both"/>
              <w:spacing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tbl>
            <w:tblPr>
              <w:tblStyle w:val="95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787"/>
            </w:tblGrid>
            <w:tr>
              <w:tblPrEx/>
              <w:trPr>
                <w:trHeight w:val="722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both"/>
                    <w:spacing w:line="288" w:lineRule="atLeast"/>
                    <w:rPr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8787" w:type="dxa"/>
                  <w:textDirection w:val="lrTb"/>
                  <w:noWrap w:val="false"/>
                </w:tcPr>
                <w:p>
                  <w:pPr>
                    <w:spacing w:line="288" w:lineRule="atLeas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t xml:space="preserve">направить для выдачи в МФЦ (указывается при обращении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br/>
                    <w:t xml:space="preserve">с заявлением и документами в МФЦ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spacing w:line="288" w:lineRule="atLeas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both"/>
                    <w:spacing w:line="288" w:lineRule="atLeast"/>
                    <w:rPr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</w:tcBorders>
                  <w:tcW w:w="8787" w:type="dxa"/>
                  <w:textDirection w:val="lrTb"/>
                  <w:noWrap w:val="false"/>
                </w:tcPr>
                <w:p>
                  <w:pPr>
                    <w:spacing w:line="288" w:lineRule="atLeas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t xml:space="preserve">направить на почтовый адрес: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spacing w:line="288" w:lineRule="atLeast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both"/>
                    <w:spacing w:line="288" w:lineRule="atLeast"/>
                    <w:rPr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8787" w:type="dxa"/>
                  <w:textDirection w:val="lrTb"/>
                  <w:noWrap w:val="false"/>
                </w:tcPr>
                <w:p>
                  <w:pPr>
                    <w:spacing w:line="288" w:lineRule="atLeas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t xml:space="preserve">выдать в отделе по работе с гражданами департамента социальной политики администрации города Перми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"___"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"___"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(ФИО члена молодой семьи, достигшего возраста 14 лет)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"___"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(ФИО члена молодой семьи, достигшего возраста 14 лет)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(должность лица, принявшего заявление)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(подпись, дата)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Дата: "___" _____________ 20___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Время: ___ ч. ___ мин.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3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социальной политики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№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952"/>
        <w:tblW w:w="0" w:type="auto"/>
        <w:tblLayout w:type="fixed"/>
        <w:tblLook w:val="04A0" w:firstRow="1" w:lastRow="0" w:firstColumn="1" w:lastColumn="0" w:noHBand="0" w:noVBand="1"/>
      </w:tblPr>
      <w:tblGrid>
        <w:gridCol w:w="3307"/>
        <w:gridCol w:w="1369"/>
        <w:gridCol w:w="1938"/>
        <w:gridCol w:w="330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епартамент социальной политики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Заявление №1 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цели использования социальной выплаты)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(ФИО заявителя)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6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сообщаю о том, что социальную выплату на приобретение (строительство) жилья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намерен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использовать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на погашение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имеющегося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отечного кредита, в том числе ипотечного, или жилищного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займа для приобретения жилого помещения или строительства индивидуального жилого дома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от 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(дата заключения ипотечного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кредита(займа)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Жилое помещение (дом) приобретено (построено, строится) по адресу:_______________________________________________________________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ind w:left="0" w:right="-74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74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(ФИО)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</w:tc>
      </w:tr>
    </w:tbl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52"/>
        <w:tblW w:w="0" w:type="auto"/>
        <w:tblLayout w:type="fixed"/>
        <w:tblLook w:val="04A0" w:firstRow="1" w:lastRow="0" w:firstColumn="1" w:lastColumn="0" w:noHBand="0" w:noVBand="1"/>
      </w:tblPr>
      <w:tblGrid>
        <w:gridCol w:w="3307"/>
        <w:gridCol w:w="1511"/>
        <w:gridCol w:w="1796"/>
        <w:gridCol w:w="330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епартамент социальной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Заявление №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цели использования социальной выплаты)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(ФИО заявителя)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52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сообщаю о том, что социальную выплату на приобретение (строительство) жилья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намерен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использовать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оформление нового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отечного кредита, в том числе ипотечного, или жилищного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займа для приобретения жилого помещения или строительства индивидуального жилого дома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ind w:left="0" w:right="-74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74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(ФИО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*Заявление №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 заполняется заявителем в случае, если молодая семья планирует использовать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социальную выплату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погашени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</w:rPr>
        <w:t xml:space="preserve">имеющегося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  <w:u w:val="none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non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отечного кредита, в том числе ипотечного или жилищного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**Заявление № 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заполняется заявителем в случае, если молодая семья планирует использовать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социальную выплату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</w:rPr>
        <w:t xml:space="preserve">оформление нового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отечного кредита, в том числе ипотечного, или жилищного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4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социальной политики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№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95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 департамент социальной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_______________________________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(Ф.И.О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Заявление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яснение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места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регистрации по месту жительства члена(ов) молодой семьи на момент подачи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период с __________ по __________ по адресу:______________________________________________________________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арегистрированы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были зарегистрированы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 следующие лица: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                 (не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нужное зачеркнуть)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</w:tbl>
    <w:tbl>
      <w:tblPr>
        <w:tblStyle w:val="952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559"/>
        <w:gridCol w:w="1701"/>
        <w:gridCol w:w="1701"/>
        <w:gridCol w:w="1276"/>
        <w:gridCol w:w="1560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регистрации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снятия с учета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4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Иные лица по вышеуказанному адресу не зарегистрированы.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(ФИО заявителя)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*В случае, если члены молодой семьи (заявитель, супруг(а), дети) были зарегистрированы по 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есту жительства по разным адресам, то заявление-пояснение заполняется по всем адресам </w:t>
        <w:br/>
        <w:t xml:space="preserve">с указанием периода регистрации по месту жительства члена молодой семьи и всех членов семьи зарегистрированных по месту жителства в жилом помещении по указанному адресу.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Заявление-пояснение заполняется по всем жилым помещениям в которых были зарегистрированы по месту жительства члены молодой семьи в течение 5 лет на дату подачи заявления.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5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социальной политики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№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95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 департамент социальной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(Ф.И.О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Заявление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яснение*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места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регистрации по месту жительства члена(ов) молодой семьи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 дату заключения договора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 получение ипотечного кредита, в том числе ипотечного, или жилищного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займа для приобретения жилого помещения или строительства </w:t>
              <w:br/>
              <w:t xml:space="preserve">индивидуального жилого дома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период с __________ по 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адресу:_____________________________________________________________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арегистрированы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были зарегистрированы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 следующие лица: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                   (не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нужное зачеркнуть)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</w:tbl>
    <w:tbl>
      <w:tblPr>
        <w:tblStyle w:val="952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413"/>
        <w:gridCol w:w="1422"/>
        <w:gridCol w:w="1559"/>
        <w:gridCol w:w="1417"/>
        <w:gridCol w:w="1701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регистрации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снятия с учета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2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Иные лица по вышеуказанному адресу не зарегистрированы.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(ФИО заявителя)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6236" w:righ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*Заявление-пояснение заполняется при наличии у членов молодой семьи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жилищного,</w:t>
        <w:br/>
        <w:t xml:space="preserve">(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ипотечного) кредита, или жилищного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займа для приобретения жилого помещения </w:t>
        <w:br/>
        <w:t xml:space="preserve">или строительства индивидуального жилого дома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, в случае, если со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циальная выплата будет направлена на погашение указанного кредита (займа).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случае, если члены молодой семьи (заявитель, супруг(а), дети) на дату заключения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ипотечного кредита, в том числе ипотечного, или жилищного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были зарегис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трированы по 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есту жительства по разным адресам, то заявление-пояснение заполняется по всем адресам </w:t>
        <w:br/>
        <w:t xml:space="preserve">с указанием периода регистрации по месту жительства члена молодой семьи и всех членов семьи зарегистрированных по месту жителства в жилом помещении по указанному адресу.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Заявление-пояснение заполняется по всем жилым помещениям в которых были зарегистрированы по месту жительства члены молодой семьи в течение 5 лет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дату заключения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ипотечного кредита, в том числе ипотечного или жилищного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 Полужирный">
    <w:panose1 w:val="02020603050405020304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75554385"/>
      <w:docPartObj>
        <w:docPartGallery w:val="Page Numbers (Top of Page)"/>
        <w:docPartUnique w:val="true"/>
      </w:docPartObj>
      <w:rPr/>
    </w:sdtPr>
    <w:sdtContent>
      <w:p>
        <w:pPr>
          <w:pStyle w:val="939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8"/>
  </w:num>
  <w:num w:numId="15">
    <w:abstractNumId w:val="5"/>
  </w:num>
  <w:num w:numId="16">
    <w:abstractNumId w:val="12"/>
  </w:num>
  <w:num w:numId="17">
    <w:abstractNumId w:val="6"/>
  </w:num>
  <w:num w:numId="18">
    <w:abstractNumId w:val="1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</w:style>
  <w:style w:type="paragraph" w:styleId="721">
    <w:name w:val="Heading 1"/>
    <w:basedOn w:val="720"/>
    <w:next w:val="720"/>
    <w:link w:val="93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2">
    <w:name w:val="Heading 2"/>
    <w:basedOn w:val="720"/>
    <w:next w:val="720"/>
    <w:link w:val="76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3">
    <w:name w:val="Heading 3"/>
    <w:basedOn w:val="720"/>
    <w:next w:val="720"/>
    <w:link w:val="76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6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6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7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7">
    <w:name w:val="Heading 7"/>
    <w:basedOn w:val="720"/>
    <w:next w:val="720"/>
    <w:link w:val="77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8">
    <w:name w:val="Heading 8"/>
    <w:basedOn w:val="720"/>
    <w:next w:val="720"/>
    <w:link w:val="77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9">
    <w:name w:val="Heading 9"/>
    <w:basedOn w:val="720"/>
    <w:next w:val="720"/>
    <w:link w:val="77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table" w:styleId="745">
    <w:name w:val="Plain Table 1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4" w:customStyle="1">
    <w:name w:val="Endnote Text Char"/>
    <w:uiPriority w:val="99"/>
    <w:rPr>
      <w:sz w:val="20"/>
    </w:rPr>
  </w:style>
  <w:style w:type="character" w:styleId="765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No Spacing"/>
    <w:uiPriority w:val="1"/>
    <w:qFormat/>
    <w:pPr>
      <w:spacing w:after="0" w:line="240" w:lineRule="auto"/>
    </w:pPr>
  </w:style>
  <w:style w:type="paragraph" w:styleId="775">
    <w:name w:val="Title"/>
    <w:basedOn w:val="720"/>
    <w:next w:val="720"/>
    <w:link w:val="776"/>
    <w:uiPriority w:val="10"/>
    <w:qFormat/>
    <w:pPr>
      <w:contextualSpacing/>
      <w:spacing w:before="300"/>
    </w:pPr>
    <w:rPr>
      <w:sz w:val="48"/>
      <w:szCs w:val="48"/>
    </w:rPr>
  </w:style>
  <w:style w:type="character" w:styleId="776" w:customStyle="1">
    <w:name w:val="Заголовок Знак"/>
    <w:basedOn w:val="730"/>
    <w:link w:val="775"/>
    <w:uiPriority w:val="10"/>
    <w:rPr>
      <w:sz w:val="48"/>
      <w:szCs w:val="48"/>
    </w:rPr>
  </w:style>
  <w:style w:type="paragraph" w:styleId="777">
    <w:name w:val="Subtitle"/>
    <w:basedOn w:val="720"/>
    <w:next w:val="720"/>
    <w:link w:val="778"/>
    <w:uiPriority w:val="11"/>
    <w:qFormat/>
    <w:pPr>
      <w:spacing w:before="200"/>
    </w:pPr>
    <w:rPr>
      <w:sz w:val="24"/>
      <w:szCs w:val="24"/>
    </w:rPr>
  </w:style>
  <w:style w:type="character" w:styleId="778" w:customStyle="1">
    <w:name w:val="Подзаголовок Знак"/>
    <w:basedOn w:val="730"/>
    <w:link w:val="777"/>
    <w:uiPriority w:val="11"/>
    <w:rPr>
      <w:sz w:val="24"/>
      <w:szCs w:val="24"/>
    </w:rPr>
  </w:style>
  <w:style w:type="paragraph" w:styleId="779">
    <w:name w:val="Quote"/>
    <w:basedOn w:val="720"/>
    <w:next w:val="720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20"/>
    <w:next w:val="720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30"/>
    <w:uiPriority w:val="99"/>
  </w:style>
  <w:style w:type="character" w:styleId="784" w:customStyle="1">
    <w:name w:val="Footer Char"/>
    <w:basedOn w:val="730"/>
    <w:uiPriority w:val="99"/>
  </w:style>
  <w:style w:type="character" w:styleId="785" w:customStyle="1">
    <w:name w:val="Caption Char"/>
    <w:uiPriority w:val="99"/>
  </w:style>
  <w:style w:type="table" w:styleId="786" w:customStyle="1">
    <w:name w:val="Table Grid Light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 w:customStyle="1">
    <w:name w:val="Таблица простая 11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21"/>
    <w:basedOn w:val="7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Таблица простая 3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Таблица простая 4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 простая 5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1 светлая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Таблица-сетка 2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Таблица-сетка 3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41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Таблица-сетка 5 темная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Таблица-сетка 6 цветная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Таблица-сетка 7 цветная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Список-таблица 1 светлая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Список-таблица 2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Список-таблица 4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Список-таблица 5 темная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Список-таблица 6 цветная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Список-таблица 7 цветная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1" w:customStyle="1">
    <w:name w:val="Footnote Text Char"/>
    <w:uiPriority w:val="99"/>
    <w:rPr>
      <w:sz w:val="18"/>
    </w:rPr>
  </w:style>
  <w:style w:type="paragraph" w:styleId="912">
    <w:name w:val="endnote text"/>
    <w:basedOn w:val="720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30"/>
    <w:uiPriority w:val="99"/>
    <w:semiHidden/>
    <w:unhideWhenUsed/>
    <w:rPr>
      <w:vertAlign w:val="superscript"/>
    </w:rPr>
  </w:style>
  <w:style w:type="paragraph" w:styleId="915">
    <w:name w:val="toc 1"/>
    <w:basedOn w:val="720"/>
    <w:next w:val="720"/>
    <w:uiPriority w:val="39"/>
    <w:unhideWhenUsed/>
    <w:pPr>
      <w:spacing w:after="57"/>
    </w:pPr>
  </w:style>
  <w:style w:type="paragraph" w:styleId="916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17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18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19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20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21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22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23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20"/>
    <w:next w:val="720"/>
    <w:uiPriority w:val="99"/>
    <w:unhideWhenUsed/>
    <w:pPr>
      <w:spacing w:after="0"/>
    </w:pPr>
  </w:style>
  <w:style w:type="paragraph" w:styleId="92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2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29" w:customStyle="1">
    <w:name w:val="Основной текст (6)_"/>
    <w:basedOn w:val="730"/>
    <w:link w:val="93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30" w:customStyle="1">
    <w:name w:val="Основной текст (6)"/>
    <w:basedOn w:val="720"/>
    <w:link w:val="929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31" w:customStyle="1">
    <w:name w:val="Основной текст (2)_"/>
    <w:basedOn w:val="730"/>
    <w:link w:val="932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32" w:customStyle="1">
    <w:name w:val="Основной текст (2)"/>
    <w:basedOn w:val="720"/>
    <w:link w:val="931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33">
    <w:name w:val="Hyperlink"/>
    <w:basedOn w:val="730"/>
    <w:rPr>
      <w:color w:val="0066cc"/>
      <w:u w:val="single"/>
    </w:rPr>
  </w:style>
  <w:style w:type="character" w:styleId="934" w:customStyle="1">
    <w:name w:val="Заголовок №1_"/>
    <w:basedOn w:val="730"/>
    <w:link w:val="935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35" w:customStyle="1">
    <w:name w:val="Заголовок №1"/>
    <w:basedOn w:val="720"/>
    <w:link w:val="934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36" w:customStyle="1">
    <w:name w:val="Основной текст (4)_"/>
    <w:basedOn w:val="730"/>
    <w:link w:val="937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37" w:customStyle="1">
    <w:name w:val="Основной текст (4)"/>
    <w:basedOn w:val="720"/>
    <w:link w:val="936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38" w:customStyle="1">
    <w:name w:val="Заголовок 1 Знак"/>
    <w:basedOn w:val="730"/>
    <w:link w:val="72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9">
    <w:name w:val="Header"/>
    <w:link w:val="940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40" w:customStyle="1">
    <w:name w:val="Верхний колонтитул Знак"/>
    <w:basedOn w:val="730"/>
    <w:link w:val="939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41">
    <w:name w:val="Body Text"/>
    <w:basedOn w:val="720"/>
    <w:link w:val="942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42" w:customStyle="1">
    <w:name w:val="Основной текст Знак"/>
    <w:basedOn w:val="730"/>
    <w:link w:val="94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43">
    <w:name w:val="Footer"/>
    <w:basedOn w:val="720"/>
    <w:link w:val="94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 w:customStyle="1">
    <w:name w:val="Нижний колонтитул Знак"/>
    <w:basedOn w:val="730"/>
    <w:link w:val="943"/>
  </w:style>
  <w:style w:type="paragraph" w:styleId="945">
    <w:name w:val="List Paragraph"/>
    <w:basedOn w:val="720"/>
    <w:uiPriority w:val="34"/>
    <w:qFormat/>
    <w:pPr>
      <w:contextualSpacing/>
      <w:ind w:left="720"/>
      <w:jc w:val="both"/>
      <w:spacing w:after="0" w:line="240" w:lineRule="auto"/>
    </w:pPr>
  </w:style>
  <w:style w:type="paragraph" w:styleId="946">
    <w:name w:val="Balloon Text"/>
    <w:basedOn w:val="720"/>
    <w:link w:val="9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basedOn w:val="730"/>
    <w:link w:val="946"/>
    <w:uiPriority w:val="99"/>
    <w:semiHidden/>
    <w:rPr>
      <w:rFonts w:ascii="Tahoma" w:hAnsi="Tahoma" w:cs="Tahoma"/>
      <w:sz w:val="16"/>
      <w:szCs w:val="16"/>
    </w:rPr>
  </w:style>
  <w:style w:type="paragraph" w:styleId="948">
    <w:name w:val="Caption"/>
    <w:basedOn w:val="720"/>
    <w:next w:val="720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49">
    <w:name w:val="footnote text"/>
    <w:basedOn w:val="720"/>
    <w:link w:val="950"/>
    <w:uiPriority w:val="99"/>
    <w:unhideWhenUsed/>
    <w:pPr>
      <w:spacing w:after="0" w:line="240" w:lineRule="auto"/>
    </w:pPr>
    <w:rPr>
      <w:sz w:val="20"/>
      <w:szCs w:val="20"/>
    </w:rPr>
  </w:style>
  <w:style w:type="character" w:styleId="950" w:customStyle="1">
    <w:name w:val="Текст сноски Знак"/>
    <w:basedOn w:val="730"/>
    <w:link w:val="949"/>
    <w:uiPriority w:val="99"/>
    <w:rPr>
      <w:sz w:val="20"/>
      <w:szCs w:val="20"/>
    </w:rPr>
  </w:style>
  <w:style w:type="character" w:styleId="951">
    <w:name w:val="footnote reference"/>
    <w:basedOn w:val="730"/>
    <w:uiPriority w:val="99"/>
    <w:unhideWhenUsed/>
    <w:rPr>
      <w:vertAlign w:val="superscript"/>
    </w:rPr>
  </w:style>
  <w:style w:type="table" w:styleId="952">
    <w:name w:val="Table Grid"/>
    <w:basedOn w:val="7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3">
    <w:name w:val="annotation reference"/>
    <w:basedOn w:val="730"/>
    <w:uiPriority w:val="99"/>
    <w:semiHidden/>
    <w:unhideWhenUsed/>
    <w:rPr>
      <w:sz w:val="16"/>
      <w:szCs w:val="16"/>
    </w:rPr>
  </w:style>
  <w:style w:type="paragraph" w:styleId="954">
    <w:name w:val="annotation text"/>
    <w:basedOn w:val="720"/>
    <w:link w:val="95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730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730"/>
    <w:uiPriority w:val="22"/>
    <w:qFormat/>
    <w:rPr>
      <w:b/>
      <w:bCs/>
    </w:rPr>
  </w:style>
  <w:style w:type="paragraph" w:styleId="959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0" w:customStyle="1">
    <w:name w:val="Адресат"/>
    <w:basedOn w:val="720"/>
    <w:pPr>
      <w:spacing w:after="12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1" w:customStyle="1">
    <w:name w:val="Заголовок к тексту"/>
    <w:basedOn w:val="720"/>
    <w:next w:val="941"/>
    <w:pPr>
      <w:spacing w:after="480" w:line="240" w:lineRule="exact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62" w:customStyle="1">
    <w:name w:val="Исполнитель"/>
    <w:basedOn w:val="941"/>
    <w:pPr>
      <w:ind w:firstLine="0"/>
      <w:jc w:val="left"/>
      <w:spacing w:line="240" w:lineRule="exact"/>
    </w:pPr>
  </w:style>
  <w:style w:type="paragraph" w:styleId="963">
    <w:name w:val="Signature"/>
    <w:basedOn w:val="720"/>
    <w:link w:val="964"/>
    <w:pPr>
      <w:ind w:left="4252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4" w:customStyle="1">
    <w:name w:val="Подпись Знак"/>
    <w:basedOn w:val="730"/>
    <w:link w:val="9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5" w:customStyle="1">
    <w:name w:val="Подпись на  бланке должностного лица"/>
    <w:basedOn w:val="720"/>
    <w:next w:val="941"/>
    <w:pPr>
      <w:ind w:left="7088"/>
      <w:spacing w:before="480"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6" w:customStyle="1">
    <w:name w:val="Подпись на общем бланке"/>
    <w:basedOn w:val="963"/>
    <w:next w:val="941"/>
    <w:pPr>
      <w:ind w:left="0"/>
      <w:spacing w:before="480" w:line="240" w:lineRule="exact"/>
      <w:tabs>
        <w:tab w:val="right" w:pos="9639" w:leader="none"/>
      </w:tabs>
    </w:pPr>
  </w:style>
  <w:style w:type="paragraph" w:styleId="967" w:customStyle="1">
    <w:name w:val="Приложение"/>
    <w:basedOn w:val="941"/>
    <w:pPr>
      <w:ind w:left="1985" w:hanging="1985"/>
      <w:spacing w:before="240" w:line="240" w:lineRule="exact"/>
      <w:tabs>
        <w:tab w:val="left" w:pos="1673" w:leader="none"/>
      </w:tabs>
    </w:pPr>
    <w:rPr>
      <w:sz w:val="28"/>
    </w:rPr>
  </w:style>
  <w:style w:type="paragraph" w:styleId="968" w:customStyle="1">
    <w:name w:val="Гриф согласования"/>
    <w:basedOn w:val="720"/>
    <w:pPr>
      <w:spacing w:before="480" w:after="0" w:line="240" w:lineRule="exact"/>
      <w:tabs>
        <w:tab w:val="left" w:pos="283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 w:customStyle="1">
    <w:name w:val="Гриф утверждения"/>
    <w:basedOn w:val="941"/>
    <w:pPr>
      <w:ind w:firstLine="0"/>
      <w:spacing w:after="240" w:line="240" w:lineRule="exact"/>
      <w:tabs>
        <w:tab w:val="right" w:pos="4253" w:leader="none"/>
      </w:tabs>
    </w:pPr>
    <w:rPr>
      <w:sz w:val="28"/>
    </w:rPr>
  </w:style>
  <w:style w:type="paragraph" w:styleId="970" w:customStyle="1">
    <w:name w:val="Основной текст2"/>
    <w:pPr>
      <w:ind w:hanging="420"/>
      <w:jc w:val="center"/>
      <w:spacing w:before="120" w:after="120" w:line="331" w:lineRule="exac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7"/>
      <w:szCs w:val="27"/>
      <w:lang w:eastAsia="ru-RU"/>
    </w:rPr>
  </w:style>
  <w:style w:type="paragraph" w:styleId="971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2" w:customStyle="1">
    <w:name w:val="Гиперссылка1"/>
    <w:rPr>
      <w:color w:val="0000ff"/>
      <w:u w:val="single"/>
    </w:rPr>
  </w:style>
  <w:style w:type="paragraph" w:styleId="97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974" w:customStyle="1">
    <w:name w:val="Содержимое врезки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64C9-9C75-4AE9-B6FF-EC4F371D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Анжела Самвельевна</dc:creator>
  <cp:keywords/>
  <cp:revision>19</cp:revision>
  <dcterms:created xsi:type="dcterms:W3CDTF">2025-06-02T18:06:00Z</dcterms:created>
  <dcterms:modified xsi:type="dcterms:W3CDTF">2025-07-15T09:48:47Z</dcterms:modified>
</cp:coreProperties>
</file>