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5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5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1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-255456</wp:posOffset>
                </wp:positionV>
                <wp:extent cx="6285865" cy="293782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6285864" cy="293782"/>
                          <a:chOff x="0" y="0"/>
                          <a:chExt cx="6285864" cy="29378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26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91769" y="164330"/>
                            <a:ext cx="1536064" cy="12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873624" y="165648"/>
                            <a:ext cx="1085850" cy="128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5.45pt;mso-position-horizontal:absolute;mso-position-vertical-relative:text;margin-top:-20.11pt;mso-position-vertical:absolute;width:494.95pt;height:23.13pt;mso-wrap-distance-left:9.00pt;mso-wrap-distance-top:0.00pt;mso-wrap-distance-right:9.00pt;mso-wrap-distance-bottom:0.00pt;rotation:0;" coordorigin="0,0" coordsize="62858,2937">
                <v:shape id="shape 3" o:spid="_x0000_s3" o:spt="202" type="#_x0000_t202" style="position:absolute;left:0;top:0;width:62858;height:1268;visibility:visible;" fillcolor="#FFFFFF" stroked="f">
                  <v:textbox inset="0,0,0,0">
                    <w:txbxContent>
                      <w:p>
                        <w:pPr>
                          <w:pStyle w:val="91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917;top:1643;width:15360;height:1281;visibility:visible;" filled="f" stroked="f">
                  <v:textbox inset="0,0,0,0">
                    <w:txbxContent>
                      <w:p>
                        <w:pPr>
                          <w:pStyle w:val="91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8736;top:1656;width:10858;height:1281;visibility:visible;" fillcolor="#FFFFFF" stroked="f">
                  <v:textbox inset="0,0,0,0">
                    <w:txbxContent>
                      <w:p>
                        <w:pPr>
                          <w:pStyle w:val="91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21.07.2025  </w:t>
        <w:tab/>
        <w:tab/>
        <w:tab/>
        <w:t xml:space="preserve">059-16-01-03-91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осуществлении сноса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самовольных построек -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1-этажных нежилых зданий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</w:t>
      </w:r>
      <w:r>
        <w:rPr>
          <w:b/>
          <w:bCs/>
          <w:sz w:val="28"/>
          <w:szCs w:val="28"/>
        </w:rPr>
        <w:t xml:space="preserve">гаражей-боксов), расположенных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свободных городских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землях (адресный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ориентир: г. Пермь,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Индустриальный район,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Дениса Давыдова,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южнее дома № 7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</w:t>
      </w:r>
      <w:r>
        <w:t xml:space="preserve">,</w:t>
      </w:r>
      <w:r>
        <w:t xml:space="preserve">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постановлением администрации города Перми от 20 фе</w:t>
      </w:r>
      <w:r>
        <w:t xml:space="preserve">враля 2009 г. № 75 «Об утверждении Регламента взаимодействия департамента градостроительства и архитектуры администрации города Перми с территориальными органами администрации города Перми в сфере градостроительной деятельности на территории города Перми»,</w:t>
      </w:r>
      <w:r>
        <w:t xml:space="preserve"> </w:t>
      </w:r>
      <w:r>
        <w:t xml:space="preserve">на основании</w:t>
      </w:r>
      <w:r>
        <w:t xml:space="preserve"> р</w:t>
      </w:r>
      <w:r>
        <w:t xml:space="preserve">аспоряжения главы администрации </w:t>
      </w:r>
      <w:r>
        <w:t xml:space="preserve">Индустриального</w:t>
      </w:r>
      <w:r>
        <w:t xml:space="preserve"> района </w:t>
      </w:r>
      <w:r>
        <w:t xml:space="preserve">города Перми </w:t>
      </w:r>
      <w:r>
        <w:t xml:space="preserve">от </w:t>
      </w:r>
      <w:r>
        <w:t xml:space="preserve">02</w:t>
      </w:r>
      <w:r>
        <w:t xml:space="preserve">.10</w:t>
      </w:r>
      <w:r>
        <w:t xml:space="preserve">.202</w:t>
      </w:r>
      <w:r>
        <w:t xml:space="preserve">4 №</w:t>
      </w:r>
      <w:r>
        <w:t xml:space="preserve"> </w:t>
      </w:r>
      <w:r>
        <w:t xml:space="preserve">059-</w:t>
      </w:r>
      <w:r>
        <w:t xml:space="preserve">16</w:t>
      </w:r>
      <w:r>
        <w:t xml:space="preserve">-01-0</w:t>
      </w:r>
      <w:r>
        <w:t xml:space="preserve">3</w:t>
      </w:r>
      <w:r>
        <w:t xml:space="preserve">-162 </w:t>
      </w:r>
      <w:r>
        <w:t xml:space="preserve">«</w:t>
      </w:r>
      <w:r>
        <w:t xml:space="preserve">О сносе самовольных построек </w:t>
      </w:r>
      <w:r>
        <w:t xml:space="preserve">(1-этажных нежилых зданий – </w:t>
      </w:r>
      <w:r>
        <w:t xml:space="preserve">гаражей-боксов), </w:t>
      </w:r>
      <w:r>
        <w:t xml:space="preserve">расположенных на свободных </w:t>
      </w:r>
      <w:r>
        <w:t xml:space="preserve">городских землях (адресный </w:t>
      </w:r>
      <w:r>
        <w:t xml:space="preserve">ориентир: г. Пермь, </w:t>
      </w:r>
      <w:r>
        <w:t xml:space="preserve">Индустриальный район, </w:t>
      </w:r>
      <w:r>
        <w:t xml:space="preserve">ул. Дениса Давыдова, </w:t>
      </w:r>
      <w:r>
        <w:t xml:space="preserve">южнее дома № 7)</w:t>
      </w:r>
      <w:r>
        <w:t xml:space="preserve">»</w:t>
      </w:r>
      <w:r>
        <w:t xml:space="preserve">:</w:t>
      </w:r>
      <w:r/>
    </w:p>
    <w:p>
      <w:pPr>
        <w:pStyle w:val="910"/>
        <w:ind w:firstLine="720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градостроительства земельных и имущественных отношений 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срок</w:t>
        <w:br/>
      </w:r>
      <w:r>
        <w:rPr>
          <w:sz w:val="28"/>
          <w:szCs w:val="28"/>
        </w:rPr>
        <w:t xml:space="preserve">до 30 октября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выполнение мероприятий, предусмотренных Регламентом взаимодействия департамента градостроительства и архитектуры администрации города Перми </w:t>
      </w:r>
      <w:r>
        <w:rPr>
          <w:sz w:val="28"/>
          <w:szCs w:val="28"/>
        </w:rPr>
        <w:t xml:space="preserve">с территориальными органа</w:t>
      </w:r>
      <w:r>
        <w:rPr>
          <w:sz w:val="28"/>
          <w:szCs w:val="28"/>
        </w:rPr>
        <w:t xml:space="preserve">ми администрации города Перми в </w:t>
      </w:r>
      <w:r>
        <w:rPr>
          <w:sz w:val="28"/>
          <w:szCs w:val="28"/>
        </w:rPr>
        <w:t xml:space="preserve">сфере градостроительной деятельности на территории города Перми, утвержденным </w:t>
      </w: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города Перми</w:t>
        <w:br/>
        <w:t xml:space="preserve">от 20 февраля 2009 </w:t>
      </w:r>
      <w:r>
        <w:rPr>
          <w:sz w:val="28"/>
          <w:szCs w:val="28"/>
        </w:rPr>
        <w:t xml:space="preserve">г. № 75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на выполнение работ по сносу </w:t>
      </w:r>
      <w:r>
        <w:rPr>
          <w:sz w:val="28"/>
          <w:szCs w:val="28"/>
        </w:rPr>
        <w:t xml:space="preserve">самовольных построек - </w:t>
      </w:r>
      <w:r>
        <w:rPr>
          <w:sz w:val="28"/>
          <w:szCs w:val="28"/>
        </w:rPr>
        <w:t xml:space="preserve">1-этажных нежилых зданий (</w:t>
      </w:r>
      <w:r>
        <w:rPr>
          <w:sz w:val="28"/>
          <w:szCs w:val="28"/>
        </w:rPr>
        <w:t xml:space="preserve">гаражей-боксов), расположенных </w:t>
      </w:r>
      <w:r>
        <w:rPr>
          <w:sz w:val="28"/>
          <w:szCs w:val="28"/>
        </w:rPr>
        <w:t xml:space="preserve">на свободных городских </w:t>
      </w:r>
      <w:r>
        <w:rPr>
          <w:sz w:val="28"/>
          <w:szCs w:val="28"/>
        </w:rPr>
        <w:t xml:space="preserve">землях (адресный </w:t>
      </w:r>
      <w:r>
        <w:rPr>
          <w:sz w:val="28"/>
          <w:szCs w:val="28"/>
        </w:rPr>
        <w:t xml:space="preserve">ориентир: г. Пермь, </w:t>
      </w:r>
      <w:r>
        <w:rPr>
          <w:sz w:val="28"/>
          <w:szCs w:val="28"/>
        </w:rPr>
        <w:t xml:space="preserve">Индустриальный район, </w:t>
      </w:r>
      <w:r>
        <w:rPr>
          <w:sz w:val="28"/>
          <w:szCs w:val="28"/>
        </w:rPr>
        <w:t xml:space="preserve">ул. Дениса Давыдова, </w:t>
      </w:r>
      <w:r>
        <w:rPr>
          <w:sz w:val="28"/>
          <w:szCs w:val="28"/>
        </w:rPr>
        <w:t xml:space="preserve">южнее дома № 7)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Ответственным за организацию работ по осуществлению сноса самовольной постройки или ее приведению в соответствие с установленными требованиями назначить начальника отдела градостроительства, земельных и имущественных отношений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 Панькову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распоряжение вступает в силу со дня официального обнародования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города Перми обеспечить 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опубликование (обнародование) на официальном сайте муниципального образования город Пермь в информационно-телекоммуникационной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возложить</w:t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и.о. первого заместителя главы 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города Перми Рассадову </w:t>
      </w:r>
      <w:r>
        <w:rPr>
          <w:sz w:val="28"/>
          <w:szCs w:val="28"/>
        </w:rPr>
        <w:t xml:space="preserve">С.</w:t>
      </w:r>
      <w:r>
        <w:rPr>
          <w:sz w:val="28"/>
          <w:szCs w:val="28"/>
        </w:rPr>
        <w:t xml:space="preserve">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ind w:right="-1" w:firstLine="709"/>
      <w:jc w:val="both"/>
      <w:keepNext/>
      <w:outlineLvl w:val="0"/>
    </w:pPr>
    <w:rPr>
      <w:sz w:val="24"/>
    </w:rPr>
  </w:style>
  <w:style w:type="paragraph" w:styleId="912">
    <w:name w:val="Заголовок 2"/>
    <w:basedOn w:val="910"/>
    <w:next w:val="910"/>
    <w:link w:val="92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13">
    <w:name w:val="Основной шрифт абзаца"/>
    <w:next w:val="913"/>
    <w:link w:val="910"/>
    <w:semiHidden/>
  </w:style>
  <w:style w:type="table" w:styleId="914">
    <w:name w:val="Обычная таблица"/>
    <w:next w:val="914"/>
    <w:link w:val="910"/>
    <w:semiHidden/>
    <w:tblPr/>
  </w:style>
  <w:style w:type="numbering" w:styleId="915">
    <w:name w:val="Нет списка"/>
    <w:next w:val="915"/>
    <w:link w:val="910"/>
    <w:semiHidden/>
  </w:style>
  <w:style w:type="paragraph" w:styleId="916">
    <w:name w:val="Название объекта"/>
    <w:basedOn w:val="910"/>
    <w:next w:val="910"/>
    <w:link w:val="91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Основной текст"/>
    <w:basedOn w:val="910"/>
    <w:next w:val="917"/>
    <w:link w:val="924"/>
    <w:pPr>
      <w:ind w:right="3117"/>
    </w:pPr>
    <w:rPr>
      <w:rFonts w:ascii="Courier New" w:hAnsi="Courier New"/>
      <w:sz w:val="26"/>
      <w:lang w:val="en-US" w:eastAsia="en-US"/>
    </w:rPr>
  </w:style>
  <w:style w:type="paragraph" w:styleId="918">
    <w:name w:val="Основной текст с отступом"/>
    <w:basedOn w:val="910"/>
    <w:next w:val="918"/>
    <w:link w:val="910"/>
    <w:pPr>
      <w:ind w:right="-1"/>
      <w:jc w:val="both"/>
    </w:pPr>
    <w:rPr>
      <w:sz w:val="26"/>
    </w:rPr>
  </w:style>
  <w:style w:type="paragraph" w:styleId="919">
    <w:name w:val="Нижний колонтитул"/>
    <w:basedOn w:val="910"/>
    <w:next w:val="919"/>
    <w:link w:val="910"/>
    <w:pPr>
      <w:tabs>
        <w:tab w:val="center" w:pos="4153" w:leader="none"/>
        <w:tab w:val="right" w:pos="8306" w:leader="none"/>
      </w:tabs>
    </w:pPr>
  </w:style>
  <w:style w:type="character" w:styleId="920">
    <w:name w:val="Номер страницы"/>
    <w:basedOn w:val="913"/>
    <w:next w:val="920"/>
    <w:link w:val="910"/>
  </w:style>
  <w:style w:type="paragraph" w:styleId="921">
    <w:name w:val="Верхний колонтитул"/>
    <w:basedOn w:val="910"/>
    <w:next w:val="921"/>
    <w:link w:val="927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Текст выноски"/>
    <w:basedOn w:val="910"/>
    <w:next w:val="922"/>
    <w:link w:val="923"/>
    <w:rPr>
      <w:rFonts w:ascii="Segoe UI" w:hAnsi="Segoe UI"/>
      <w:sz w:val="18"/>
      <w:szCs w:val="18"/>
      <w:lang w:val="en-US" w:eastAsia="en-US"/>
    </w:rPr>
  </w:style>
  <w:style w:type="character" w:styleId="923">
    <w:name w:val="Текст выноски Знак"/>
    <w:next w:val="923"/>
    <w:link w:val="922"/>
    <w:rPr>
      <w:rFonts w:ascii="Segoe UI" w:hAnsi="Segoe UI" w:cs="Segoe UI"/>
      <w:sz w:val="18"/>
      <w:szCs w:val="18"/>
    </w:rPr>
  </w:style>
  <w:style w:type="character" w:styleId="924">
    <w:name w:val="Основной текст Знак"/>
    <w:next w:val="924"/>
    <w:link w:val="917"/>
    <w:rPr>
      <w:rFonts w:ascii="Courier New" w:hAnsi="Courier New"/>
      <w:sz w:val="26"/>
    </w:rPr>
  </w:style>
  <w:style w:type="character" w:styleId="925">
    <w:name w:val="Заголовок 2 Знак"/>
    <w:next w:val="925"/>
    <w:link w:val="912"/>
    <w:rPr>
      <w:sz w:val="24"/>
    </w:rPr>
  </w:style>
  <w:style w:type="paragraph" w:styleId="926">
    <w:name w:val="Форма"/>
    <w:next w:val="926"/>
    <w:link w:val="910"/>
    <w:rPr>
      <w:sz w:val="28"/>
      <w:szCs w:val="28"/>
      <w:lang w:val="ru-RU" w:eastAsia="ru-RU" w:bidi="ar-SA"/>
    </w:rPr>
  </w:style>
  <w:style w:type="character" w:styleId="927">
    <w:name w:val="Верхний колонтитул Знак"/>
    <w:basedOn w:val="913"/>
    <w:next w:val="927"/>
    <w:link w:val="921"/>
    <w:uiPriority w:val="99"/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24</cp:revision>
  <dcterms:created xsi:type="dcterms:W3CDTF">2021-03-31T08:14:00Z</dcterms:created>
  <dcterms:modified xsi:type="dcterms:W3CDTF">2025-07-21T05:18:01Z</dcterms:modified>
  <cp:version>1048576</cp:version>
</cp:coreProperties>
</file>