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1149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5"/>
                          <a:chOff x="0" y="0"/>
                          <a:chExt cx="6285864" cy="11149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031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63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0.04pt;mso-position-vertical:absolute;width:494.95pt;height:87.79pt;mso-wrap-distance-left:9.00pt;mso-wrap-distance-top:0.00pt;mso-wrap-distance-right:9.00pt;mso-wrap-distance-bottom:0.00pt;" coordorigin="0,0" coordsize="62858,11149">
                <v:shape id="shape 2" o:spid="_x0000_s2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03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06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</w:pPr>
      <w:r/>
      <w:r/>
    </w:p>
    <w:p>
      <w:pPr>
        <w:pStyle w:val="930"/>
        <w:spacing w:line="240" w:lineRule="exact"/>
      </w:pPr>
      <w:r/>
      <w:r/>
    </w:p>
    <w:p>
      <w:pPr>
        <w:pStyle w:val="930"/>
        <w:spacing w:line="240" w:lineRule="exact"/>
      </w:pPr>
      <w:r/>
      <w:r/>
    </w:p>
    <w:p>
      <w:pPr>
        <w:pStyle w:val="930"/>
        <w:spacing w:line="240" w:lineRule="exact"/>
        <w:rPr>
          <w:rFonts w:eastAsia="Calibri"/>
          <w:b/>
          <w:bCs/>
          <w:lang w:eastAsia="en-US"/>
        </w:rPr>
      </w:pPr>
      <w:r>
        <w:rPr>
          <w:b/>
          <w:spacing w:val="-2"/>
        </w:rPr>
        <w:t xml:space="preserve">О внесении изменений в</w:t>
      </w:r>
      <w:r>
        <w:rPr>
          <w:rFonts w:eastAsia="Calibri"/>
          <w:b/>
          <w:lang w:eastAsia="en-US"/>
        </w:rPr>
        <w:t xml:space="preserve"> Порядок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определения объема</w:t>
      </w:r>
      <w:r>
        <w:rPr>
          <w:b/>
          <w:spacing w:val="-2"/>
        </w:rPr>
        <w:t xml:space="preserve"> </w:t>
      </w:r>
      <w:r>
        <w:rPr>
          <w:rFonts w:eastAsia="Calibri"/>
          <w:b/>
          <w:lang w:eastAsia="en-US"/>
        </w:rPr>
        <w:t xml:space="preserve">и условий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0"/>
        <w:spacing w:line="240" w:lineRule="exact"/>
        <w:rPr>
          <w:b/>
          <w:bCs/>
          <w:spacing w:val="-2"/>
        </w:rPr>
      </w:pPr>
      <w:r>
        <w:rPr>
          <w:rFonts w:eastAsia="Calibri"/>
          <w:b/>
          <w:lang w:eastAsia="en-US"/>
        </w:rPr>
        <w:t xml:space="preserve">предоставления субсидий на иные цели </w:t>
      </w:r>
      <w:r>
        <w:rPr>
          <w:b/>
          <w:bCs/>
          <w:spacing w:val="-2"/>
        </w:rPr>
      </w:r>
      <w:r>
        <w:rPr>
          <w:b/>
          <w:bCs/>
          <w:spacing w:val="-2"/>
        </w:rPr>
      </w:r>
    </w:p>
    <w:p>
      <w:pPr>
        <w:pStyle w:val="930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бюджетным и автономным учреждениям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устройство спортивных площадок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 оснащение объектов спортивным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оборудованием и инвентарем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для занятий физической культурой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и спортом, утвержденный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постановлением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администрации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0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города Перми от 06.04.2021 № 230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0"/>
        <w:ind w:firstLine="720"/>
        <w:jc w:val="both"/>
      </w:pPr>
      <w:r/>
      <w:r/>
    </w:p>
    <w:p>
      <w:pPr>
        <w:pStyle w:val="930"/>
        <w:ind w:firstLine="720"/>
        <w:jc w:val="both"/>
      </w:pPr>
      <w:r/>
      <w:r/>
    </w:p>
    <w:p>
      <w:pPr>
        <w:pStyle w:val="930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Порядок определения объема и условий предоставления субсидий на иные цели бюджетным и автономн</w:t>
      </w:r>
      <w:r>
        <w:rPr>
          <w:rFonts w:eastAsia="Calibri"/>
          <w:sz w:val="28"/>
          <w:szCs w:val="28"/>
          <w:lang w:eastAsia="en-US"/>
        </w:rPr>
        <w:t xml:space="preserve">ым учреждениям на устройство спортивных площадок и оснащение объектов спортивным оборудованием и инвентарем для занятий физической культурой и спортом, утвержденный постановлением администрации города Перми от 06 апреля 2021 г. № 230 (в ред. от 24.06.2021 </w:t>
      </w:r>
      <w:r>
        <w:rPr>
          <w:rFonts w:eastAsia="Calibri"/>
          <w:sz w:val="28"/>
          <w:szCs w:val="28"/>
        </w:rPr>
        <w:br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467,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08.04.2022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256, от 26.12.2022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1370, от 28.12.2022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1405, </w:t>
      </w:r>
      <w:r>
        <w:rPr>
          <w:rFonts w:eastAsia="Calibri"/>
          <w:sz w:val="28"/>
          <w:szCs w:val="28"/>
          <w:lang w:eastAsia="en-US"/>
        </w:rPr>
        <w:br/>
        <w:t xml:space="preserve">от 26.05.2023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430, от 07.12.2023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1391, от 27.06.2024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544, от 30.07.2024 </w:t>
      </w:r>
      <w:r>
        <w:rPr>
          <w:rFonts w:eastAsia="Calibri"/>
          <w:sz w:val="28"/>
          <w:szCs w:val="28"/>
        </w:rPr>
        <w:br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609, от 08.08.2024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634), следующие изменения: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пункт 1.3 изложить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>
        <w:rPr>
          <w:rFonts w:eastAsia="Calibri"/>
          <w:sz w:val="28"/>
          <w:szCs w:val="28"/>
          <w:lang w:eastAsia="en-US"/>
        </w:rPr>
        <w:t xml:space="preserve">Целью предоставления субсидий на иные цели является расширение спортивной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инфраструктуры города Перми в части устройства спортивных сооружений в рамках выполнения регионального проекта «Комфортный край», муниципальной программы «Развитие физической культуры и спорта города Перми».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пункт 1.4 изложить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>
        <w:rPr>
          <w:rFonts w:eastAsia="Calibri"/>
          <w:sz w:val="28"/>
          <w:szCs w:val="28"/>
          <w:lang w:eastAsia="en-US"/>
        </w:rPr>
        <w:t xml:space="preserve">Субсидии на иные цели Учреждениям предоставляются в соответствии с постановлением Правительства Пермского края от 13 сентября 2022 г. № 773-п «Об утверждении Порядка предоста</w:t>
      </w:r>
      <w:r>
        <w:rPr>
          <w:rFonts w:eastAsia="Calibri"/>
          <w:sz w:val="28"/>
          <w:szCs w:val="28"/>
          <w:lang w:eastAsia="en-US"/>
        </w:rPr>
        <w:t xml:space="preserve">вления субсидий из бюджета Пермского края бюджетам муниципальных образований Пермского края на реализацию мероприятий по устройству спортивных площадок и оснащению объектов спортивным оборудованием и инвентарем для занятий физической культурой и спортом в </w:t>
      </w:r>
      <w:r>
        <w:rPr>
          <w:rFonts w:eastAsia="Calibri"/>
          <w:sz w:val="28"/>
          <w:szCs w:val="28"/>
          <w:lang w:eastAsia="en-US"/>
        </w:rPr>
        <w:t xml:space="preserve">рамках регионального проекта «Комфортный край»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о следующему направлению: устройство и оснащение спортивным оборудованием и инвентарем открытых спортивных площадок следующего типа: комплексная площадка для подвижных игр (универсальная игровая площадка), площадка для хоккея с шайбой (хоккейная площадка).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пункт 1.5 изложить</w:t>
      </w:r>
      <w:r>
        <w:rPr>
          <w:rFonts w:eastAsia="Calibri"/>
          <w:sz w:val="28"/>
          <w:szCs w:val="28"/>
          <w:lang w:eastAsia="en-US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«1.5. Субсидии на иные цели предоставляются Учреждениям в пределах бюджетных ассигнований и лимитов бюджетных обязатель</w:t>
      </w:r>
      <w:r>
        <w:rPr>
          <w:sz w:val="28"/>
          <w:szCs w:val="28"/>
        </w:rPr>
        <w:t xml:space="preserve">ств на 2025 год на основании сводной бюджетной росписи бюджета города Перми за счет средств бюджета города Перми и средств бюджета Пермского края в рамках выполнения мероприятий муниципальной программы «Развитие физической культуры и спорта города Перми.»;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</w:t>
      </w:r>
      <w:r>
        <w:rPr>
          <w:rFonts w:eastAsia="Calibri"/>
          <w:sz w:val="28"/>
          <w:szCs w:val="28"/>
          <w:lang w:eastAsia="en-US"/>
        </w:rPr>
        <w:t xml:space="preserve"> пункт 2.6 </w:t>
      </w:r>
      <w:r>
        <w:rPr>
          <w:sz w:val="28"/>
          <w:szCs w:val="28"/>
        </w:rPr>
        <w:t xml:space="preserve">признать утратившим силу;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</w:t>
      </w:r>
      <w:r>
        <w:rPr>
          <w:rFonts w:eastAsia="Calibri"/>
          <w:sz w:val="28"/>
          <w:szCs w:val="28"/>
          <w:lang w:eastAsia="en-US"/>
        </w:rPr>
        <w:t xml:space="preserve">абзац </w:t>
      </w:r>
      <w:r>
        <w:rPr>
          <w:rFonts w:eastAsia="Calibri"/>
          <w:sz w:val="28"/>
          <w:szCs w:val="28"/>
          <w:lang w:eastAsia="en-US"/>
        </w:rPr>
        <w:t xml:space="preserve">третий</w:t>
      </w:r>
      <w:r>
        <w:rPr>
          <w:rFonts w:eastAsia="Calibri"/>
          <w:sz w:val="28"/>
          <w:szCs w:val="28"/>
          <w:lang w:eastAsia="en-US"/>
        </w:rPr>
        <w:t xml:space="preserve"> пункта 2.8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«наличие бюджетных ассигнований и лимитов бюджетных обязательств </w:t>
        <w:br/>
        <w:t xml:space="preserve">на 2025 год за счет средств бюджета Пермского края и средств бюджета города Перми в муниципальной программе «Развитие физической культуры и спорта города Перми».»;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1.7. пункт 2.13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>
        <w:rPr>
          <w:rFonts w:eastAsia="Calibri"/>
          <w:sz w:val="28"/>
          <w:szCs w:val="28"/>
          <w:lang w:eastAsia="en-US"/>
        </w:rPr>
        <w:t xml:space="preserve">Результа</w:t>
      </w:r>
      <w:r>
        <w:rPr>
          <w:rFonts w:eastAsia="Calibri"/>
          <w:sz w:val="28"/>
          <w:szCs w:val="28"/>
          <w:lang w:eastAsia="en-US"/>
        </w:rPr>
        <w:t xml:space="preserve">том предоставления субсидий на иные цели является количество устроенных спортивных площадок (единиц), единовременная пропускная способность спортивной площадки (человек), уровень обеспеченности населения спортивными сооружениями, исходя из единовременной п</w:t>
      </w:r>
      <w:r>
        <w:rPr>
          <w:rFonts w:eastAsia="Calibri"/>
          <w:sz w:val="28"/>
          <w:szCs w:val="28"/>
          <w:lang w:eastAsia="en-US"/>
        </w:rPr>
        <w:t xml:space="preserve">ропускной способности объектов спорта в рамках выполнения мероприятий муниципальной программы «Развитие физической культуры и спорта города Перми». План мероприятий по достижению результатов предоставления субсидии на иные цели устанавливается Соглашением.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1.8. пункт 3.1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 w:type="textWrapping" w:clear="all"/>
        <w:t xml:space="preserve">в Комитет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</w:t>
      </w:r>
      <w:r>
        <w:rPr>
          <w:sz w:val="28"/>
          <w:szCs w:val="28"/>
        </w:rPr>
        <w:t xml:space="preserve">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1.9. пункт 3.2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1.10. </w:t>
      </w:r>
      <w:r>
        <w:rPr>
          <w:rFonts w:eastAsia="Calibri"/>
          <w:sz w:val="28"/>
          <w:szCs w:val="28"/>
          <w:lang w:eastAsia="en-US"/>
        </w:rPr>
        <w:t xml:space="preserve">пункт 3.3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 w:line="288" w:lineRule="atLeast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«3.3. </w:t>
      </w:r>
      <w:r>
        <w:rPr>
          <w:rFonts w:eastAsia="Calibri"/>
          <w:sz w:val="28"/>
          <w:szCs w:val="28"/>
          <w:lang w:eastAsia="en-US"/>
        </w:rPr>
        <w:t xml:space="preserve">Ответственность </w:t>
      </w:r>
      <w:r>
        <w:rPr>
          <w:rFonts w:eastAsia="Calibri"/>
          <w:sz w:val="28"/>
          <w:szCs w:val="28"/>
          <w:lang w:eastAsia="en-US"/>
        </w:rPr>
        <w:t xml:space="preserve">за своевременность представления Отчетов и достоверность отчетных данных возлагается на руководителя Учреждения.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пункт 4.1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«4.1. 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Комитет проводит мониторинг</w:t>
      </w:r>
      <w:r>
        <w:rPr>
          <w:sz w:val="28"/>
          <w:szCs w:val="28"/>
        </w:rPr>
        <w:t xml:space="preserve">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sz w:val="28"/>
          <w:szCs w:val="28"/>
        </w:rPr>
        <w:br w:type="textWrapping" w:clear="all"/>
        <w:t xml:space="preserve">и по формам, установленным Порядком проведения мониторинга достижения результатов предоставления субсидий, в том числе грантов в форме субси</w:t>
      </w:r>
      <w:r>
        <w:rPr>
          <w:sz w:val="28"/>
          <w:szCs w:val="28"/>
        </w:rPr>
        <w:t xml:space="preserve">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09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1.12</w:t>
      </w:r>
      <w:r>
        <w:rPr>
          <w:sz w:val="28"/>
          <w:szCs w:val="28"/>
        </w:rPr>
        <w:t xml:space="preserve">. приложение 1 изложить в редакции согласно приложению к настоящему постановлению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распространяет действие на правоотношения, возникшие с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ма</w:t>
      </w:r>
      <w:r>
        <w:rPr>
          <w:sz w:val="28"/>
          <w:szCs w:val="28"/>
        </w:rPr>
        <w:t xml:space="preserve">я 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jc w:val="right"/>
        <w:spacing w:before="0" w:beforeAutospacing="0" w:after="0" w:afterAutospacing="0" w:line="288" w:lineRule="atLeast"/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90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left="5669"/>
        <w:spacing w:before="0" w:beforeAutospacing="0" w:after="0" w:afterAutospacing="0"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0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21.07.2025 № 473</w:t>
      </w:r>
      <w:r>
        <w:rPr>
          <w:sz w:val="28"/>
          <w:szCs w:val="28"/>
        </w:rPr>
      </w:r>
    </w:p>
    <w:p>
      <w:pPr>
        <w:pStyle w:val="990"/>
        <w:jc w:val="both"/>
        <w:spacing w:before="0" w:beforeAutospacing="0" w:after="0" w:afterAutospacing="0" w:line="288" w:lineRule="atLeast"/>
      </w:pPr>
      <w:r/>
      <w:r/>
    </w:p>
    <w:p>
      <w:pPr>
        <w:pStyle w:val="990"/>
        <w:jc w:val="both"/>
        <w:spacing w:before="0" w:beforeAutospacing="0" w:after="0" w:afterAutospacing="0" w:line="288" w:lineRule="atLeast"/>
      </w:pPr>
      <w:r/>
      <w:r/>
    </w:p>
    <w:p>
      <w:pPr>
        <w:pStyle w:val="990"/>
        <w:jc w:val="both"/>
        <w:spacing w:before="0" w:beforeAutospacing="0" w:after="0" w:afterAutospacing="0" w:line="288" w:lineRule="atLeast"/>
      </w:pPr>
      <w:r/>
      <w:r/>
    </w:p>
    <w:p>
      <w:pPr>
        <w:pStyle w:val="99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РАСЧЕТ-ОБОСНОВАНИЕ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субсидий на иные цели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20___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0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jc w:val="center"/>
        <w:spacing w:before="0" w:beforeAutospacing="0" w:after="0" w:afterAutospacing="0"/>
      </w:pPr>
      <w:r>
        <w:t xml:space="preserve">(наименование учреждения) </w:t>
      </w:r>
      <w:r/>
    </w:p>
    <w:p>
      <w:pPr>
        <w:pStyle w:val="990"/>
        <w:jc w:val="both"/>
        <w:spacing w:before="0" w:beforeAutospacing="0" w:after="0" w:afterAutospacing="0" w:line="288" w:lineRule="atLeast"/>
      </w:pPr>
      <w:r>
        <w:t xml:space="preserve">  </w:t>
      </w:r>
      <w:r/>
    </w:p>
    <w:tbl>
      <w:tblPr>
        <w:tblW w:w="1015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60"/>
        <w:gridCol w:w="6868"/>
        <w:gridCol w:w="26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0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6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иные цели,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0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6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0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68" w:type="dxa"/>
            <w:textDirection w:val="lrTb"/>
            <w:noWrap w:val="false"/>
          </w:tcPr>
          <w:p>
            <w:pPr>
              <w:pStyle w:val="99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 оснащение спортивным оборудованием и инвентарем открытых спортивных площадок / площадка для хоккея с шайбой (хоккейная площадка)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0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68" w:type="dxa"/>
            <w:textDirection w:val="lrTb"/>
            <w:noWrap w:val="false"/>
          </w:tcPr>
          <w:p>
            <w:pPr>
              <w:pStyle w:val="99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площадка для подвижных игр (универсальная игровая площадка) / площадка для хоккея с шайбой (хоккейная площадка)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28" w:type="dxa"/>
            <w:textDirection w:val="lrTb"/>
            <w:noWrap w:val="false"/>
          </w:tcPr>
          <w:p>
            <w:pPr>
              <w:pStyle w:val="990"/>
              <w:jc w:val="both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28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90"/>
        <w:jc w:val="both"/>
        <w:spacing w:before="0" w:beforeAutospacing="0" w:after="0" w:afterAutospacing="0" w:line="288" w:lineRule="atLeast"/>
      </w:pPr>
      <w:r/>
      <w:r/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jc w:val="both"/>
        <w:spacing w:before="0" w:beforeAutospacing="0" w:after="0" w:afterAutospacing="0" w:line="288" w:lineRule="atLeast"/>
      </w:pPr>
      <w:r/>
      <w:r/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12" w:type="dxa"/>
            <w:textDirection w:val="lrTb"/>
            <w:noWrap w:val="false"/>
          </w:tcPr>
          <w:p>
            <w:pPr>
              <w:pStyle w:val="99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(подпись, 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65" w:type="dxa"/>
            <w:textDirection w:val="lrTb"/>
            <w:noWrap w:val="false"/>
          </w:tcPr>
          <w:p>
            <w:pPr>
              <w:pStyle w:val="990"/>
              <w:jc w:val="both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 _____г.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90"/>
              <w:jc w:val="both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9"/>
    <w:uiPriority w:val="10"/>
    <w:rPr>
      <w:sz w:val="48"/>
      <w:szCs w:val="48"/>
    </w:rPr>
  </w:style>
  <w:style w:type="character" w:styleId="720">
    <w:name w:val="Subtitle Char"/>
    <w:basedOn w:val="735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Footnote Text Char"/>
    <w:link w:val="890"/>
    <w:uiPriority w:val="99"/>
    <w:rPr>
      <w:sz w:val="18"/>
    </w:rPr>
  </w:style>
  <w:style w:type="character" w:styleId="724">
    <w:name w:val="Endnote Text Char"/>
    <w:link w:val="893"/>
    <w:uiPriority w:val="99"/>
    <w:rPr>
      <w:sz w:val="20"/>
    </w:rPr>
  </w:style>
  <w:style w:type="paragraph" w:styleId="725" w:default="1">
    <w:name w:val="Normal"/>
    <w:qFormat/>
  </w:style>
  <w:style w:type="paragraph" w:styleId="726">
    <w:name w:val="Heading 1"/>
    <w:basedOn w:val="725"/>
    <w:next w:val="725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  <w:rPr>
      <w:lang w:eastAsia="zh-CN"/>
    </w:rPr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31"/>
    <w:pPr>
      <w:ind w:right="3117"/>
    </w:pPr>
    <w:rPr>
      <w:rFonts w:ascii="Courier New" w:hAnsi="Courier New"/>
      <w:sz w:val="26"/>
      <w:lang w:val="en-US" w:eastAsia="en-US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uiPriority w:val="99"/>
    <w:rPr>
      <w:rFonts w:ascii="Segoe UI" w:hAnsi="Segoe UI"/>
      <w:sz w:val="18"/>
      <w:szCs w:val="18"/>
      <w:lang w:val="en-US" w:eastAsia="en-US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37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</w:rPr>
  </w:style>
  <w:style w:type="numbering" w:styleId="933" w:customStyle="1">
    <w:name w:val="Нет списка11"/>
    <w:next w:val="737"/>
    <w:uiPriority w:val="99"/>
    <w:semiHidden/>
    <w:unhideWhenUsed/>
  </w:style>
  <w:style w:type="numbering" w:styleId="934" w:customStyle="1">
    <w:name w:val="Нет списка111"/>
    <w:next w:val="737"/>
    <w:uiPriority w:val="99"/>
    <w:semiHidden/>
    <w:unhideWhenUsed/>
  </w:style>
  <w:style w:type="paragraph" w:styleId="935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37"/>
    <w:uiPriority w:val="99"/>
    <w:semiHidden/>
    <w:unhideWhenUsed/>
  </w:style>
  <w:style w:type="numbering" w:styleId="983" w:customStyle="1">
    <w:name w:val="Нет списка3"/>
    <w:next w:val="737"/>
    <w:uiPriority w:val="99"/>
    <w:semiHidden/>
    <w:unhideWhenUsed/>
  </w:style>
  <w:style w:type="paragraph" w:styleId="984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37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paragraph" w:styleId="989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990">
    <w:name w:val="Normal (Web)"/>
    <w:basedOn w:val="725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22</cp:revision>
  <dcterms:created xsi:type="dcterms:W3CDTF">2025-07-07T12:41:00Z</dcterms:created>
  <dcterms:modified xsi:type="dcterms:W3CDTF">2025-07-21T08:40:15Z</dcterms:modified>
  <cp:version>983040</cp:version>
</cp:coreProperties>
</file>