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11496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965"/>
                          <a:chOff x="0" y="0"/>
                          <a:chExt cx="6285864" cy="11149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031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063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0.04pt;mso-position-vertical:absolute;width:494.95pt;height:87.79pt;mso-wrap-distance-left:9.00pt;mso-wrap-distance-top:0.00pt;mso-wrap-distance-right:9.00pt;mso-wrap-distance-bottom:0.00pt;" coordorigin="0,0" coordsize="62858,11149">
                <v:shape id="shape 2" o:spid="_x0000_s2" o:spt="202" type="#_x0000_t202" style="position:absolute;left:0;top:0;width:62858;height:11117;visibility:visible;" fillcolor="#FFFFFF" stroked="f">
                  <v:textbox inset="0,0,0,0">
                    <w:txbxContent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03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06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4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4"/>
        <w:spacing w:line="240" w:lineRule="exact"/>
      </w:pPr>
      <w:r/>
      <w:r/>
    </w:p>
    <w:p>
      <w:pPr>
        <w:pStyle w:val="934"/>
        <w:spacing w:line="240" w:lineRule="exact"/>
      </w:pPr>
      <w:r/>
      <w:r/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b/>
          <w:spacing w:val="-2"/>
        </w:rPr>
        <w:t xml:space="preserve">О внесении изменений в</w:t>
      </w:r>
      <w:r>
        <w:rPr>
          <w:rFonts w:eastAsia="Calibri"/>
          <w:b/>
          <w:lang w:eastAsia="en-US"/>
        </w:rPr>
        <w:t xml:space="preserve"> Порядок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определения объема и условий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предоставления субсидий на иные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цели бюджетным и автономным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учреждениям на приобретение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спортивного оборудования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и инвентаря для приведения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организаций дополнительного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образования со специальным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наименованием «спортивная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школа», использующих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tabs>
          <w:tab w:val="center" w:pos="4960" w:leader="none"/>
        </w:tabs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в своем наименовании слово 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«олимпийский» или образованные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его основе слова или словосочетания,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spacing w:line="240" w:lineRule="exac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нормативное состояние, утвержденный </w:t>
      </w:r>
      <w:r>
        <w:rPr>
          <w:rFonts w:eastAsia="Calibri"/>
          <w:b/>
          <w:lang w:eastAsia="en-US"/>
        </w:rPr>
        <w:br w:type="textWrapping" w:clear="all"/>
        <w:t xml:space="preserve">постановлением администрации </w:t>
      </w:r>
      <w:r>
        <w:rPr>
          <w:rFonts w:eastAsia="Calibri"/>
          <w:b/>
          <w:lang w:eastAsia="en-US"/>
        </w:rPr>
        <w:br w:type="textWrapping" w:clear="all"/>
        <w:t xml:space="preserve">города Перми от 11.03.2024 № 173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934"/>
        <w:ind w:firstLine="720"/>
        <w:jc w:val="both"/>
      </w:pPr>
      <w:r/>
      <w:r/>
    </w:p>
    <w:p>
      <w:pPr>
        <w:pStyle w:val="934"/>
        <w:ind w:firstLine="720"/>
        <w:jc w:val="both"/>
      </w:pPr>
      <w:r/>
      <w:r/>
    </w:p>
    <w:p>
      <w:pPr>
        <w:pStyle w:val="934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Порядок определения объема и условий предоставления субсидий на иные цели бюджетным и автономным учреждениям на приобретение спортивного оборудования и инвентаря для приведения организаций дополнительного образования со </w:t>
      </w:r>
      <w:r>
        <w:rPr>
          <w:rFonts w:eastAsia="Calibri"/>
          <w:sz w:val="28"/>
          <w:szCs w:val="28"/>
          <w:lang w:eastAsia="en-US"/>
        </w:rPr>
        <w:t xml:space="preserve">сп</w:t>
      </w:r>
      <w:r>
        <w:rPr>
          <w:rFonts w:eastAsia="Calibri"/>
          <w:sz w:val="28"/>
          <w:szCs w:val="28"/>
          <w:lang w:eastAsia="en-US"/>
        </w:rPr>
        <w:t xml:space="preserve">ециальным наименованием «спортивная школа», использующих в своем наименовании слово «олимпийский» </w:t>
        <w:br/>
        <w:t xml:space="preserve">или образованные на его основе слова или словосочетания, в нормативное состояние, утвержденный постановлением администрации города Перми </w:t>
        <w:br/>
        <w:t xml:space="preserve">от 11 марта 2024 г.</w:t>
      </w:r>
      <w:r>
        <w:rPr>
          <w:rFonts w:eastAsia="Calibri"/>
          <w:sz w:val="28"/>
          <w:szCs w:val="28"/>
          <w:lang w:eastAsia="en-US"/>
        </w:rPr>
        <w:t xml:space="preserve"> № 173 (в ред. от 28.08.2024 </w:t>
      </w:r>
      <w:hyperlink r:id="rId13" w:tooltip="https://login.consultant.ru/link/?req=doc&amp;base=RLAW368&amp;n=198444&amp;dst=100005&amp;field=134&amp;date=19.06.2025" w:history="1">
        <w:r>
          <w:rPr>
            <w:rFonts w:eastAsia="Calibri"/>
            <w:sz w:val="28"/>
            <w:szCs w:val="28"/>
            <w:lang w:eastAsia="en-US"/>
          </w:rPr>
          <w:t xml:space="preserve">№ 704</w:t>
        </w:r>
      </w:hyperlink>
      <w:r>
        <w:rPr>
          <w:rFonts w:eastAsia="Calibri"/>
          <w:sz w:val="28"/>
          <w:szCs w:val="28"/>
          <w:lang w:eastAsia="en-US"/>
        </w:rPr>
        <w:t xml:space="preserve">, от 13.12.2024 </w:t>
      </w:r>
      <w:hyperlink r:id="rId14" w:tooltip="https://login.consultant.ru/link/?req=doc&amp;base=RLAW368&amp;n=202871&amp;dst=100144&amp;field=134&amp;date=19.06.2025" w:history="1">
        <w:r>
          <w:rPr>
            <w:rFonts w:eastAsia="Calibri"/>
            <w:sz w:val="28"/>
            <w:szCs w:val="28"/>
            <w:lang w:eastAsia="en-US"/>
          </w:rPr>
          <w:t xml:space="preserve">№ 1223</w:t>
        </w:r>
      </w:hyperlink>
      <w:r>
        <w:rPr>
          <w:rFonts w:eastAsia="Calibri"/>
          <w:sz w:val="28"/>
          <w:szCs w:val="28"/>
          <w:lang w:eastAsia="en-US"/>
        </w:rPr>
        <w:t xml:space="preserve">), следующие изменения: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пункт 1.2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>
        <w:rPr>
          <w:rFonts w:eastAsia="Calibri"/>
          <w:sz w:val="28"/>
          <w:szCs w:val="28"/>
          <w:lang w:eastAsia="en-US"/>
        </w:rPr>
        <w:t xml:space="preserve">пункт 1.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rFonts w:eastAsia="Calibri"/>
          <w:sz w:val="28"/>
          <w:szCs w:val="28"/>
          <w:lang w:eastAsia="en-US"/>
        </w:rPr>
        <w:t xml:space="preserve">Целью предоставления субсидий </w:t>
      </w:r>
      <w:r>
        <w:rPr>
          <w:rFonts w:eastAsia="Calibri"/>
          <w:sz w:val="28"/>
          <w:szCs w:val="28"/>
          <w:lang w:eastAsia="en-US"/>
        </w:rPr>
        <w:t xml:space="preserve">на иные цели </w:t>
      </w:r>
      <w:r>
        <w:rPr>
          <w:rFonts w:eastAsia="Calibri"/>
          <w:sz w:val="28"/>
          <w:szCs w:val="28"/>
          <w:lang w:eastAsia="en-US"/>
        </w:rPr>
        <w:t xml:space="preserve">является приобретение спортивного оборудования и инвентаря для приведения спортивных школ олимпийского резерва в нормативное состояние</w:t>
      </w:r>
      <w:r>
        <w:rPr>
          <w:rFonts w:eastAsia="Calibri"/>
          <w:sz w:val="28"/>
          <w:szCs w:val="28"/>
          <w:lang w:eastAsia="en-US"/>
        </w:rPr>
        <w:t xml:space="preserve"> в рамках выполнения мероприятий муниципальной программы «Развитие физической культуры </w:t>
        <w:br/>
        <w:t xml:space="preserve">и спорта города Перми»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>
        <w:rPr>
          <w:rFonts w:eastAsia="Calibri"/>
          <w:sz w:val="28"/>
          <w:szCs w:val="28"/>
          <w:lang w:eastAsia="en-US"/>
        </w:rPr>
        <w:t xml:space="preserve">пункт 1.4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«1.4. </w:t>
      </w:r>
      <w:r>
        <w:rPr>
          <w:rFonts w:eastAsia="Calibri"/>
          <w:sz w:val="28"/>
          <w:szCs w:val="28"/>
          <w:lang w:eastAsia="en-US"/>
        </w:rPr>
        <w:t xml:space="preserve">Субсидии на иные цели предоставляются в соответствии </w:t>
        <w:br/>
        <w:t xml:space="preserve">с </w:t>
      </w:r>
      <w:hyperlink r:id="rId15" w:tooltip="https://login.consultant.ru/link/?req=doc&amp;base=RLAW368&amp;n=176346&amp;date=04.07.2025" w:history="1">
        <w:r>
          <w:rPr>
            <w:rFonts w:eastAsia="Calibri"/>
            <w:sz w:val="28"/>
            <w:szCs w:val="28"/>
            <w:lang w:eastAsia="en-US"/>
          </w:rPr>
          <w:t xml:space="preserve"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Правительства Пермского кр</w:t>
      </w:r>
      <w:r>
        <w:rPr>
          <w:rFonts w:eastAsia="Calibri"/>
          <w:sz w:val="28"/>
          <w:szCs w:val="28"/>
          <w:lang w:eastAsia="en-US"/>
        </w:rPr>
        <w:t xml:space="preserve">ая от 14 марта 2019 г. № 159-п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установлении расходного обязательства Пермского края </w:t>
        <w:br/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софинансирование</w:t>
      </w:r>
      <w:r>
        <w:rPr>
          <w:rFonts w:eastAsia="Calibri"/>
          <w:sz w:val="28"/>
          <w:szCs w:val="28"/>
          <w:lang w:eastAsia="en-US"/>
        </w:rPr>
        <w:t xml:space="preserve"> мероприятий по приобретению спортивного оборудования и инвентаря для приведения организаций дополнительного образования </w:t>
        <w:br/>
        <w:t xml:space="preserve">со специальным наимено</w:t>
      </w:r>
      <w:r>
        <w:rPr>
          <w:rFonts w:eastAsia="Calibri"/>
          <w:sz w:val="28"/>
          <w:szCs w:val="28"/>
          <w:lang w:eastAsia="en-US"/>
        </w:rPr>
        <w:t xml:space="preserve">ванием «</w:t>
      </w:r>
      <w:r>
        <w:rPr>
          <w:rFonts w:eastAsia="Calibri"/>
          <w:sz w:val="28"/>
          <w:szCs w:val="28"/>
          <w:lang w:eastAsia="en-US"/>
        </w:rPr>
        <w:t xml:space="preserve">спортивная школа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использую</w:t>
      </w:r>
      <w:r>
        <w:rPr>
          <w:rFonts w:eastAsia="Calibri"/>
          <w:sz w:val="28"/>
          <w:szCs w:val="28"/>
          <w:lang w:eastAsia="en-US"/>
        </w:rPr>
        <w:t xml:space="preserve">щих в своем наименовании слово «олимпийский»</w:t>
      </w:r>
      <w:r>
        <w:rPr>
          <w:rFonts w:eastAsia="Calibri"/>
          <w:sz w:val="28"/>
          <w:szCs w:val="28"/>
          <w:lang w:eastAsia="en-US"/>
        </w:rPr>
        <w:t xml:space="preserve"> или образованные на его основе слова </w:t>
        <w:br/>
        <w:t xml:space="preserve">или словосочетания, в нормативное состояние и об утверждении Порядка предоставления субсидий из бюджета Пермского края бюджетам муниципальных образований Пермского края на </w:t>
      </w:r>
      <w:r>
        <w:rPr>
          <w:rFonts w:eastAsia="Calibri"/>
          <w:sz w:val="28"/>
          <w:szCs w:val="28"/>
          <w:lang w:eastAsia="en-US"/>
        </w:rPr>
        <w:t xml:space="preserve">софинансирование</w:t>
      </w:r>
      <w:r>
        <w:rPr>
          <w:rFonts w:eastAsia="Calibri"/>
          <w:sz w:val="28"/>
          <w:szCs w:val="28"/>
          <w:lang w:eastAsia="en-US"/>
        </w:rPr>
        <w:t xml:space="preserve"> мероприятий </w:t>
        <w:br/>
        <w:t xml:space="preserve">по приобретению спортивного оборудования и инвентаря для приведения организаций дополнительного образования со специальным наименованием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спортивная школа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использующих в своем наименовании сл</w:t>
      </w:r>
      <w:r>
        <w:rPr>
          <w:rFonts w:eastAsia="Calibri"/>
          <w:sz w:val="28"/>
          <w:szCs w:val="28"/>
          <w:lang w:eastAsia="en-US"/>
        </w:rPr>
        <w:t xml:space="preserve">ово «олимпийский»</w:t>
      </w:r>
      <w:r>
        <w:rPr>
          <w:rFonts w:eastAsia="Calibri"/>
          <w:sz w:val="28"/>
          <w:szCs w:val="28"/>
          <w:lang w:eastAsia="en-US"/>
        </w:rPr>
        <w:t xml:space="preserve"> или образованные на его основе слова или словосочетания, в нормативное состояние</w:t>
      </w: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пункт 1.5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1.5. </w:t>
      </w:r>
      <w:r>
        <w:rPr>
          <w:rFonts w:eastAsia="Calibri"/>
          <w:sz w:val="28"/>
          <w:szCs w:val="28"/>
          <w:lang w:eastAsia="en-US"/>
        </w:rPr>
        <w:t xml:space="preserve">Субсидии на иные цели предоставляются Учреждениям в пределах бюджетных ассигнований и лими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ов бюджетных обязательств на 2025 год за счет средств бюджета Российской Федерации, средств бюджета Пермского края </w:t>
        <w:br/>
        <w:t xml:space="preserve">и средств бюджета города Перми в рамках выполнения мероприятий муниципальной программы «Развитие физической культуры и спорта города Перми»</w:t>
      </w:r>
      <w:r>
        <w:rPr>
          <w:rFonts w:eastAsia="Calibri"/>
          <w:sz w:val="28"/>
          <w:szCs w:val="28"/>
          <w:lang w:eastAsia="en-US"/>
        </w:rPr>
        <w:t xml:space="preserve">.»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</w:t>
      </w:r>
      <w:r>
        <w:rPr>
          <w:rFonts w:eastAsia="Calibri"/>
          <w:sz w:val="28"/>
          <w:szCs w:val="28"/>
          <w:lang w:eastAsia="en-US"/>
        </w:rPr>
        <w:t xml:space="preserve">нкт 2.5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2.5.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Размер субсидий на иные цели определяется на основании коммерческих предложений с приложением не менее 3 ценовых </w:t>
      </w:r>
      <w:r>
        <w:rPr>
          <w:sz w:val="28"/>
          <w:szCs w:val="28"/>
        </w:rPr>
        <w:t xml:space="preserve">информаций.</w:t>
      </w:r>
      <w:r>
        <w:rPr>
          <w:rFonts w:eastAsia="Calibri"/>
          <w:color w:val="ff0000"/>
          <w:sz w:val="28"/>
          <w:szCs w:val="28"/>
          <w:lang w:eastAsia="en-US"/>
        </w:rPr>
      </w:r>
      <w:r>
        <w:rPr>
          <w:rFonts w:eastAsia="Calibri"/>
          <w:color w:val="ff0000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расходов по учреждениям </w:t>
      </w:r>
      <w:r>
        <w:rPr>
          <w:rFonts w:eastAsia="Calibri"/>
          <w:sz w:val="28"/>
          <w:szCs w:val="28"/>
          <w:lang w:eastAsia="en-US"/>
        </w:rPr>
        <w:t xml:space="preserve">определяется на основании </w:t>
      </w:r>
      <w:hyperlink r:id="rId16" w:tooltip="https://login.consultant.ru/link/?req=doc&amp;base=RLAW368&amp;n=191597&amp;date=19.06.2025" w:history="1">
        <w:r>
          <w:rPr>
            <w:rFonts w:eastAsia="Calibri"/>
            <w:sz w:val="28"/>
            <w:szCs w:val="28"/>
            <w:lang w:eastAsia="en-US"/>
          </w:rPr>
          <w:t xml:space="preserve">постановления</w:t>
        </w:r>
      </w:hyperlink>
      <w:r>
        <w:rPr>
          <w:rFonts w:eastAsia="Calibri"/>
          <w:sz w:val="28"/>
          <w:szCs w:val="28"/>
          <w:lang w:eastAsia="en-US"/>
        </w:rPr>
        <w:t xml:space="preserve"> Правительства Пермского края от 06 февраля 2025 г. № 94-п «Об утверждении распределения субсидий из бюджета Пермского края с участием средств федерального бюджета бюджетам муниципальных образований Пермского края на </w:t>
      </w:r>
      <w:r>
        <w:rPr>
          <w:rFonts w:eastAsia="Calibri"/>
          <w:sz w:val="28"/>
          <w:szCs w:val="28"/>
          <w:lang w:eastAsia="en-US"/>
        </w:rPr>
        <w:t xml:space="preserve">софинансирование</w:t>
      </w:r>
      <w:r>
        <w:rPr>
          <w:rFonts w:eastAsia="Calibri"/>
          <w:sz w:val="28"/>
          <w:szCs w:val="28"/>
          <w:lang w:eastAsia="en-US"/>
        </w:rPr>
        <w:t xml:space="preserve"> мероприятий по приобретению спортивного оборудования и инвентаря для приведения организаций дополнительного образования </w:t>
        <w:br/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о специальным наименованием «</w:t>
      </w:r>
      <w:r>
        <w:rPr>
          <w:rFonts w:eastAsia="Calibri"/>
          <w:sz w:val="28"/>
          <w:szCs w:val="28"/>
          <w:lang w:eastAsia="en-US"/>
        </w:rPr>
        <w:t xml:space="preserve">спортивная школа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использующих в своем наименовании слово «олимпийский» или образованные на его основе слова </w:t>
        <w:br/>
        <w:t xml:space="preserve">или словосочетания, в нормативное состояние на 2025 год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.»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пункт 2.6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</w:t>
      </w:r>
      <w:r>
        <w:rPr>
          <w:rFonts w:eastAsia="Calibri"/>
          <w:sz w:val="28"/>
          <w:szCs w:val="28"/>
          <w:lang w:eastAsia="en-US"/>
        </w:rPr>
        <w:t xml:space="preserve">. абзац второй пункта 2.7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«Заключение Соглашения на 2025 год осуществляется Комитетом </w:t>
        <w:br/>
        <w:t xml:space="preserve">не позднее 30 рабочих дней со дня перечисления межбюджетных трансфертов </w:t>
        <w:br/>
        <w:t xml:space="preserve">из бюджета Пермс</w:t>
      </w:r>
      <w:r>
        <w:rPr>
          <w:rFonts w:eastAsia="Calibri"/>
          <w:sz w:val="28"/>
          <w:szCs w:val="28"/>
          <w:lang w:eastAsia="en-US"/>
        </w:rPr>
        <w:t xml:space="preserve">кого края в бюджет города Перми</w:t>
      </w:r>
      <w:r>
        <w:rPr>
          <w:rFonts w:eastAsia="Calibri"/>
          <w:sz w:val="28"/>
          <w:szCs w:val="28"/>
          <w:lang w:eastAsia="en-US"/>
        </w:rPr>
        <w:t xml:space="preserve">.»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8</w:t>
      </w:r>
      <w:r>
        <w:rPr>
          <w:rFonts w:eastAsia="Calibri"/>
          <w:sz w:val="28"/>
          <w:szCs w:val="28"/>
          <w:lang w:eastAsia="en-US"/>
        </w:rPr>
        <w:t xml:space="preserve">. в абзаце третьем пункта 2.8 слова «2024 год» заменить словами </w:t>
        <w:br/>
        <w:t xml:space="preserve">«2025 год»;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09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 3.1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  <w:br/>
        <w:t xml:space="preserve">на иные цели – ежегодно не позднее 15 рабочего дня месяца, следующего </w:t>
        <w:br/>
        <w:t xml:space="preserve">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льтатов предоставления субсидий на иные цели – ежеквартально не позднее </w:t>
        <w:br/>
        <w:t xml:space="preserve">5 календарного дня месяца, следующего за отчетным кварталом, а также </w:t>
        <w:br/>
        <w:t xml:space="preserve">не позднее 10 рабочего дня после достижения конечного значения результата предоставления субсидий на иные цели.»;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rFonts w:eastAsia="Calibri"/>
          <w:sz w:val="28"/>
          <w:szCs w:val="28"/>
          <w:lang w:eastAsia="en-US"/>
        </w:rPr>
        <w:t xml:space="preserve">пункт 3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</w:t>
      </w: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 пункт 4.1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9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«4.1. Комитет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Комитет проводит мониторинг</w:t>
      </w:r>
      <w:r>
        <w:rPr>
          <w:sz w:val="28"/>
          <w:szCs w:val="28"/>
        </w:rPr>
        <w:t xml:space="preserve">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sz w:val="28"/>
          <w:szCs w:val="28"/>
        </w:rPr>
        <w:br w:type="textWrapping" w:clear="all"/>
        <w:t xml:space="preserve">и по формам, установленным Порядком проведения мониторинга достижения результатов предоставления субсидий, в том числе грантов в форме субси</w:t>
      </w:r>
      <w:r>
        <w:rPr>
          <w:sz w:val="28"/>
          <w:szCs w:val="28"/>
        </w:rPr>
        <w:t xml:space="preserve">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действие на правоотношения, возникшие с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</w:t>
      </w:r>
      <w:r>
        <w:rPr>
          <w:sz w:val="28"/>
          <w:szCs w:val="28"/>
        </w:rPr>
        <w:t xml:space="preserve">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70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Title Char"/>
    <w:basedOn w:val="739"/>
    <w:link w:val="753"/>
    <w:uiPriority w:val="10"/>
    <w:rPr>
      <w:sz w:val="48"/>
      <w:szCs w:val="48"/>
    </w:rPr>
  </w:style>
  <w:style w:type="character" w:styleId="724">
    <w:name w:val="Subtitle Char"/>
    <w:basedOn w:val="739"/>
    <w:link w:val="755"/>
    <w:uiPriority w:val="11"/>
    <w:rPr>
      <w:sz w:val="24"/>
      <w:szCs w:val="24"/>
    </w:rPr>
  </w:style>
  <w:style w:type="character" w:styleId="725">
    <w:name w:val="Quote Char"/>
    <w:link w:val="757"/>
    <w:uiPriority w:val="29"/>
    <w:rPr>
      <w:i/>
    </w:rPr>
  </w:style>
  <w:style w:type="character" w:styleId="726">
    <w:name w:val="Intense Quote Char"/>
    <w:link w:val="759"/>
    <w:uiPriority w:val="30"/>
    <w:rPr>
      <w:i/>
    </w:rPr>
  </w:style>
  <w:style w:type="character" w:styleId="727">
    <w:name w:val="Footnote Text Char"/>
    <w:link w:val="894"/>
    <w:uiPriority w:val="99"/>
    <w:rPr>
      <w:sz w:val="18"/>
    </w:rPr>
  </w:style>
  <w:style w:type="character" w:styleId="728">
    <w:name w:val="Endnote Text Char"/>
    <w:link w:val="897"/>
    <w:uiPriority w:val="99"/>
    <w:rPr>
      <w:sz w:val="20"/>
    </w:rPr>
  </w:style>
  <w:style w:type="paragraph" w:styleId="729" w:default="1">
    <w:name w:val="Normal"/>
    <w:qFormat/>
  </w:style>
  <w:style w:type="paragraph" w:styleId="730">
    <w:name w:val="Heading 1"/>
    <w:basedOn w:val="729"/>
    <w:next w:val="729"/>
    <w:link w:val="742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link w:val="730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4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2">
    <w:name w:val="Body Text Indent"/>
    <w:basedOn w:val="729"/>
    <w:pPr>
      <w:ind w:right="-1"/>
      <w:jc w:val="both"/>
    </w:pPr>
    <w:rPr>
      <w:sz w:val="26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41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2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rPr>
      <w:sz w:val="28"/>
      <w:szCs w:val="28"/>
    </w:rPr>
  </w:style>
  <w:style w:type="numbering" w:styleId="937" w:customStyle="1">
    <w:name w:val="Нет списка11"/>
    <w:next w:val="741"/>
    <w:uiPriority w:val="99"/>
    <w:semiHidden/>
    <w:unhideWhenUsed/>
  </w:style>
  <w:style w:type="numbering" w:styleId="938" w:customStyle="1">
    <w:name w:val="Нет списка111"/>
    <w:next w:val="741"/>
    <w:uiPriority w:val="99"/>
    <w:semiHidden/>
    <w:unhideWhenUsed/>
  </w:style>
  <w:style w:type="paragraph" w:styleId="939" w:customStyle="1">
    <w:name w:val="font5"/>
    <w:basedOn w:val="7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2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2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2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41"/>
    <w:uiPriority w:val="99"/>
    <w:semiHidden/>
    <w:unhideWhenUsed/>
  </w:style>
  <w:style w:type="numbering" w:styleId="987" w:customStyle="1">
    <w:name w:val="Нет списка3"/>
    <w:next w:val="741"/>
    <w:uiPriority w:val="99"/>
    <w:semiHidden/>
    <w:unhideWhenUsed/>
  </w:style>
  <w:style w:type="paragraph" w:styleId="988" w:customStyle="1">
    <w:name w:val="font6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41"/>
    <w:uiPriority w:val="99"/>
    <w:semiHidden/>
    <w:unhideWhenUsed/>
  </w:style>
  <w:style w:type="character" w:styleId="992" w:customStyle="1">
    <w:name w:val="Нижний колонтитул Знак"/>
    <w:link w:val="763"/>
    <w:uiPriority w:val="99"/>
  </w:style>
  <w:style w:type="paragraph" w:styleId="993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paragraph" w:styleId="994">
    <w:name w:val="Normal (Web)"/>
    <w:basedOn w:val="72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98444&amp;dst=100005&amp;field=134&amp;date=19.06.2025" TargetMode="External"/><Relationship Id="rId14" Type="http://schemas.openxmlformats.org/officeDocument/2006/relationships/hyperlink" Target="https://login.consultant.ru/link/?req=doc&amp;base=RLAW368&amp;n=202871&amp;dst=100144&amp;field=134&amp;date=19.06.2025" TargetMode="External"/><Relationship Id="rId15" Type="http://schemas.openxmlformats.org/officeDocument/2006/relationships/hyperlink" Target="https://login.consultant.ru/link/?req=doc&amp;base=RLAW368&amp;n=176346&amp;date=04.07.2025" TargetMode="External"/><Relationship Id="rId16" Type="http://schemas.openxmlformats.org/officeDocument/2006/relationships/hyperlink" Target="https://login.consultant.ru/link/?req=doc&amp;base=RLAW368&amp;n=191597&amp;date=19.06.2025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62</cp:revision>
  <dcterms:created xsi:type="dcterms:W3CDTF">2025-06-20T10:40:00Z</dcterms:created>
  <dcterms:modified xsi:type="dcterms:W3CDTF">2025-07-21T08:59:47Z</dcterms:modified>
  <cp:version>983040</cp:version>
</cp:coreProperties>
</file>