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</w:t>
        <w:br/>
        <w:t xml:space="preserve">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  <w:br/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0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31-07-1-3исх-340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установления границ территориальной зоны садовых и дачных участков (Р-3) в отношении земельного участка с кадастровым номером 59:01:3010103:154, расположенного на территории СНТ № 63 Плотинка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Орджоникидзевском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установления границ территориальной зоны садовых и дачных участков (Р-3) в отношении земельного участка с кадастровым номером 59:01:3810267:124, расположенного в Орджоникидзевском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 установления границ территориальной зоны садовых и дачных участков (Р-3) в отношении земельного участка с кадастровым номером 59:01:3210385:259, расположенного по адресу: мкр. Камская поляна, д. 46в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Орджоникидзевском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1.4. установления границ территориальной зоны производственно-коммунальных объектов III класса вредности (ПК-3) в отношении территории, расположенной по ул. Ижевской в Свердловском районе города Перми.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Орджоникидзевского и Свердловского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  <w:br/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  <w:highlight w:val="white"/>
        </w:rPr>
        <w:t xml:space="preserve">организовать проведение экспозиции Проекта с перечнем информационных материалов к нему (далее − экспозиция) с 05 августа 2025 г. </w:t>
      </w:r>
      <w:r>
        <w:rPr>
          <w:sz w:val="28"/>
          <w:szCs w:val="28"/>
          <w:highlight w:val="white"/>
        </w:rPr>
        <w:br/>
        <w:t xml:space="preserve">по 08 августа 2025</w:t>
      </w:r>
      <w:r>
        <w:rPr>
          <w:sz w:val="28"/>
          <w:szCs w:val="28"/>
          <w:highlight w:val="white"/>
        </w:rPr>
        <w:t xml:space="preserve"> г.: вторник</w:t>
      </w:r>
      <w:r>
        <w:rPr>
          <w:sz w:val="28"/>
          <w:szCs w:val="28"/>
          <w:highlight w:val="white"/>
        </w:rPr>
        <w:t xml:space="preserve">-четверг 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</w:t>
      </w:r>
      <w:r>
        <w:rPr>
          <w:sz w:val="28"/>
          <w:szCs w:val="28"/>
          <w:highlight w:val="white"/>
        </w:rPr>
        <w:t xml:space="preserve">, пятница</w:t>
      </w:r>
      <w:r>
        <w:rPr>
          <w:sz w:val="28"/>
          <w:szCs w:val="28"/>
          <w:highlight w:val="white"/>
        </w:rPr>
        <w:t xml:space="preserve"> –</w:t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с 09.00 час. </w:t>
      </w:r>
      <w:r>
        <w:rPr>
          <w:sz w:val="28"/>
          <w:szCs w:val="28"/>
          <w:highlight w:val="white"/>
        </w:rPr>
        <w:t xml:space="preserve">до 17.00 час. по адресам: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white"/>
        </w:rPr>
        <w:t xml:space="preserve">614026</w:t>
      </w:r>
      <w:r>
        <w:rPr>
          <w:color w:val="000000"/>
          <w:sz w:val="28"/>
          <w:szCs w:val="28"/>
          <w:highlight w:val="white"/>
        </w:rPr>
        <w:t xml:space="preserve">, г. Пермь, ул. Александра Щербакова, д. 24, администрация Орджоникидзевского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  <w:t xml:space="preserve">614007, г. Пермь, ул. Сибирская, д. 58, администрация Свердловского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br/>
        <w:t xml:space="preserve">07 августа 2025 г. </w:t>
      </w:r>
      <w:r>
        <w:rPr>
          <w:sz w:val="28"/>
          <w:szCs w:val="28"/>
          <w:highlight w:val="white"/>
        </w:rPr>
        <w:t xml:space="preserve">с 17.00 час. до 17.20 </w:t>
      </w:r>
      <w:r>
        <w:rPr>
          <w:sz w:val="28"/>
          <w:szCs w:val="28"/>
          <w:highlight w:val="white"/>
        </w:rPr>
        <w:t xml:space="preserve">час. по адресам</w:t>
      </w:r>
      <w:r>
        <w:rPr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614026</w:t>
      </w:r>
      <w:r>
        <w:rPr>
          <w:color w:val="000000"/>
          <w:sz w:val="28"/>
          <w:szCs w:val="28"/>
          <w:highlight w:val="white"/>
        </w:rPr>
        <w:t xml:space="preserve">, г. Пермь, ул. Александра Щербакова,</w:t>
      </w:r>
      <w:r>
        <w:rPr>
          <w:color w:val="000000"/>
          <w:sz w:val="28"/>
          <w:szCs w:val="28"/>
          <w:highlight w:val="none"/>
        </w:rPr>
        <w:t xml:space="preserve"> д. </w:t>
      </w:r>
      <w:r>
        <w:rPr>
          <w:color w:val="000000"/>
          <w:sz w:val="28"/>
          <w:szCs w:val="28"/>
        </w:rPr>
        <w:t xml:space="preserve">24,</w:t>
      </w:r>
      <w:r>
        <w:rPr>
          <w:color w:val="000000"/>
          <w:sz w:val="28"/>
          <w:szCs w:val="28"/>
        </w:rPr>
        <w:t xml:space="preserve"> актовый зал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Орджоникидзевского</w:t>
      </w:r>
      <w:r>
        <w:rPr>
          <w:color w:val="000000"/>
          <w:sz w:val="28"/>
          <w:szCs w:val="28"/>
        </w:rPr>
        <w:t xml:space="preserve"> района города Перми;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614007, г. Пермь, ул. Сибирская, д. 58, каб. 101,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05 августа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08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 </w:t>
      </w:r>
      <w:r>
        <w:rPr>
          <w:color w:val="000000"/>
          <w:sz w:val="28"/>
          <w:szCs w:val="28"/>
          <w:highlight w:val="white"/>
        </w:rPr>
        <w:t xml:space="preserve">08</w:t>
      </w:r>
      <w:r>
        <w:rPr>
          <w:color w:val="000000"/>
          <w:sz w:val="28"/>
          <w:szCs w:val="28"/>
          <w:highlight w:val="white"/>
        </w:rPr>
        <w:t xml:space="preserve"> августа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27</cp:revision>
  <dcterms:created xsi:type="dcterms:W3CDTF">2024-11-20T04:28:00Z</dcterms:created>
  <dcterms:modified xsi:type="dcterms:W3CDTF">2025-07-25T08:09:16Z</dcterms:modified>
</cp:coreProperties>
</file>