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  <w:t xml:space="preserve">29.07.2025                                                 059-16-01-03-102</w:t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</w:t>
      </w:r>
      <w:r>
        <w:rPr>
          <w:sz w:val="28"/>
          <w:szCs w:val="28"/>
        </w:rPr>
        <w:t xml:space="preserve">звести принудительный демонтаж и перемещение самовольно установленного нестационарного торгового объекта – лоток по адресу: г. Пермь, ул. Стахановская, 19/1 (перекресток улицы Стахановская и улицы Карпинского), номер в Едином реестре 5016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29 июня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от 29.07.2025 № 059-16-01-03-102</w:t>
      </w:r>
      <w:r>
        <w:rPr>
          <w:sz w:val="28"/>
          <w:szCs w:val="28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Стахановская, 19/1 (перекресток ул. Стахановская, ул. Карпинского)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29.07.202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33</cp:revision>
  <dcterms:created xsi:type="dcterms:W3CDTF">2024-05-27T07:59:00Z</dcterms:created>
  <dcterms:modified xsi:type="dcterms:W3CDTF">2025-07-29T06:04:48Z</dcterms:modified>
  <cp:version>1048576</cp:version>
</cp:coreProperties>
</file>