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6285864" cy="17392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750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16924" cy="527145"/>
                                      <wp:effectExtent l="0" t="0" r="0" b="0"/>
                                      <wp:docPr id="2" name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944163723" name="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 flipH="0" flipV="0">
                                                <a:off x="0" y="0"/>
                                                <a:ext cx="416922" cy="52714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83pt;height:41.51pt;mso-wrap-distance-left:0.00pt;mso-wrap-distance-top:0.00pt;mso-wrap-distance-right:0.00pt;mso-wrap-distance-bottom:0.00pt;" stroked="false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906"/>
                              <w:spacing w:before="40" w:after="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00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b/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b/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906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06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КИРОВСКОГО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0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900"/>
                              <w:jc w:val="center"/>
                              <w:rPr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  <w:t xml:space="preserve">(ПРОЕКТ)</w:t>
                            </w: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</w:r>
                            <w:r/>
                          </w:p>
                          <w:p>
                            <w:pPr>
                              <w:pStyle w:val="90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90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  <w:szCs w:val="8"/>
                              </w:rPr>
                            </w:pPr>
                            <w:r>
                              <w:rPr>
                                <w:sz w:val="24"/>
                                <w:szCs w:val="8"/>
                              </w:rPr>
                            </w:r>
                            <w:r>
                              <w:rPr>
                                <w:sz w:val="24"/>
                                <w:szCs w:val="8"/>
                              </w:rPr>
                            </w:r>
                            <w:r>
                              <w:rPr>
                                <w:sz w:val="24"/>
                                <w:szCs w:val="8"/>
                              </w:rPr>
                            </w:r>
                          </w:p>
                        </w:txbxContent>
                      </wps:txbx>
                      <wps:bodyPr lIns="634" tIns="634" rIns="634" bIns="634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;o:allowoverlap:true;o:allowincell:true;mso-position-horizontal-relative:page;margin-left:71.50pt;mso-position-horizontal:absolute;mso-position-vertical-relative:page;margin-top:12.85pt;mso-position-vertical:absolute;width:494.95pt;height:136.95pt;mso-wrap-distance-left:9.05pt;mso-wrap-distance-top:0.00pt;mso-wrap-distance-right:9.05pt;mso-wrap-distance-bottom:0.00pt;rotation:0;v-text-anchor:top;visibility:visible;" fillcolor="#FFFFFF">
                <v:textbox inset="0,0,0,0">
                  <w:txbxContent>
                    <w:p>
                      <w:pPr>
                        <w:pStyle w:val="750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16924" cy="527145"/>
                                <wp:effectExtent l="0" t="0" r="0" b="0"/>
                                <wp:docPr id="2" name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44163723" name="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 flipH="0" flipV="0">
                                          <a:off x="0" y="0"/>
                                          <a:ext cx="416922" cy="52714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83pt;height:41.51pt;mso-wrap-distance-left:0.00pt;mso-wrap-distance-top:0.00pt;mso-wrap-distance-right:0.00pt;mso-wrap-distance-bottom:0.00pt;" stroked="false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906"/>
                        <w:spacing w:before="40" w:after="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00"/>
                        <w:rPr>
                          <w:b/>
                          <w:sz w:val="8"/>
                          <w:szCs w:val="8"/>
                        </w:rPr>
                      </w:pPr>
                      <w:r>
                        <w:rPr>
                          <w:b/>
                          <w:sz w:val="8"/>
                          <w:szCs w:val="8"/>
                        </w:rPr>
                      </w:r>
                      <w:r>
                        <w:rPr>
                          <w:b/>
                          <w:sz w:val="8"/>
                          <w:szCs w:val="8"/>
                        </w:rPr>
                      </w:r>
                      <w:r>
                        <w:rPr>
                          <w:b/>
                          <w:sz w:val="8"/>
                          <w:szCs w:val="8"/>
                        </w:rPr>
                      </w:r>
                    </w:p>
                    <w:p>
                      <w:pPr>
                        <w:pStyle w:val="906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06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КИРОВСКОГО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0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900"/>
                        <w:jc w:val="center"/>
                        <w:rPr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highlight w:val="none"/>
                        </w:rPr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  <w:highlight w:val="none"/>
                        </w:rPr>
                        <w:t xml:space="preserve">(ПРОЕКТ)</w:t>
                      </w:r>
                      <w:r>
                        <w:rPr>
                          <w:sz w:val="28"/>
                          <w:szCs w:val="28"/>
                          <w:highlight w:val="none"/>
                        </w:rPr>
                      </w:r>
                      <w:r/>
                    </w:p>
                    <w:p>
                      <w:pPr>
                        <w:pStyle w:val="90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900"/>
                        <w:jc w:val="center"/>
                        <w:spacing w:line="360" w:lineRule="exact"/>
                        <w:widowControl w:val="off"/>
                        <w:rPr>
                          <w:sz w:val="24"/>
                          <w:szCs w:val="8"/>
                        </w:rPr>
                      </w:pPr>
                      <w:r>
                        <w:rPr>
                          <w:sz w:val="24"/>
                          <w:szCs w:val="8"/>
                        </w:rPr>
                      </w:r>
                      <w:r>
                        <w:rPr>
                          <w:sz w:val="24"/>
                          <w:szCs w:val="8"/>
                        </w:rPr>
                      </w:r>
                      <w:r>
                        <w:rPr>
                          <w:sz w:val="24"/>
                          <w:szCs w:val="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ind w:left="0" w:right="0" w:firstLine="567"/>
        <w:jc w:val="both"/>
      </w:pPr>
      <w:r>
        <w:rPr>
          <w:sz w:val="28"/>
          <w:szCs w:val="28"/>
          <w:highlight w:val="none"/>
          <w14:ligatures w14:val="none"/>
        </w:rPr>
      </w:r>
      <w:r/>
    </w:p>
    <w:p>
      <w:pPr>
        <w:pStyle w:val="907"/>
        <w:ind w:right="0"/>
        <w:jc w:val="both"/>
        <w:tabs>
          <w:tab w:val="left" w:pos="7329" w:leader="none"/>
        </w:tabs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sz w:val="20"/>
        </w:rPr>
      </w:r>
      <w:r>
        <w:tab/>
      </w:r>
      <w:r>
        <w:rPr>
          <w:rFonts w:ascii="Times New Roman" w:hAnsi="Times New Roman" w:cs="Times New Roman"/>
          <w:b/>
          <w:bCs/>
          <w:sz w:val="36"/>
          <w:szCs w:val="36"/>
        </w:rPr>
      </w:r>
      <w:r>
        <w:rPr>
          <w:rFonts w:ascii="Times New Roman" w:hAnsi="Times New Roman" w:cs="Times New Roman"/>
          <w:b/>
          <w:bCs/>
          <w:sz w:val="36"/>
          <w:szCs w:val="36"/>
        </w:rPr>
      </w:r>
    </w:p>
    <w:p>
      <w:pPr>
        <w:pStyle w:val="907"/>
        <w:ind w:right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  <w:r>
        <w:rPr>
          <w:rFonts w:ascii="Times New Roman" w:hAnsi="Times New Roman"/>
          <w:sz w:val="36"/>
          <w:szCs w:val="36"/>
        </w:rPr>
      </w:r>
      <w:r>
        <w:rPr>
          <w:rFonts w:ascii="Times New Roman" w:hAnsi="Times New Roman"/>
          <w:sz w:val="36"/>
          <w:szCs w:val="36"/>
        </w:rPr>
      </w:r>
    </w:p>
    <w:p>
      <w:pPr>
        <w:pStyle w:val="90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0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0"/>
        <w:contextualSpacing/>
        <w:jc w:val="both"/>
        <w:spacing w:before="0" w:after="0" w:line="283" w:lineRule="exact"/>
        <w:rPr>
          <w:rFonts w:ascii="Times New Roman" w:hAnsi="Times New Roman" w:cs="Times New Roman"/>
          <w:b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Программу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00"/>
        <w:contextualSpacing/>
        <w:jc w:val="both"/>
        <w:spacing w:before="0" w:after="0" w:line="283" w:lineRule="exact"/>
        <w:rPr>
          <w:rFonts w:ascii="Times New Roman" w:hAnsi="Times New Roman" w:cs="Times New Roman"/>
          <w:b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00"/>
        <w:contextualSpacing/>
        <w:jc w:val="both"/>
        <w:spacing w:before="0" w:after="0" w:line="283" w:lineRule="exact"/>
        <w:rPr>
          <w:rFonts w:ascii="Times New Roman" w:hAnsi="Times New Roman" w:cs="Times New Roman"/>
          <w:b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вреда (ущерба) охраняемым законом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00"/>
        <w:contextualSpacing/>
        <w:jc w:val="both"/>
        <w:spacing w:before="0" w:after="0" w:line="283" w:lineRule="exact"/>
        <w:rPr>
          <w:rFonts w:ascii="Times New Roman" w:hAnsi="Times New Roman" w:cs="Times New Roman"/>
          <w:b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ценностям по муниципальному контролю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00"/>
        <w:contextualSpacing/>
        <w:jc w:val="both"/>
        <w:spacing w:before="0" w:after="0" w:line="283" w:lineRule="exact"/>
        <w:rPr>
          <w:rFonts w:ascii="Times New Roman" w:hAnsi="Times New Roman" w:cs="Times New Roman"/>
          <w:b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на территории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00"/>
        <w:contextualSpacing/>
        <w:jc w:val="both"/>
        <w:spacing w:before="0" w:after="0" w:line="283" w:lineRule="exact"/>
        <w:rPr>
          <w:rFonts w:ascii="Times New Roman" w:hAnsi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Кировского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города Перми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both"/>
        <w:spacing w:before="0" w:after="0" w:line="283" w:lineRule="exact"/>
        <w:rPr>
          <w:rFonts w:ascii="Times New Roman" w:hAnsi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на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, утвержденную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both"/>
        <w:spacing w:before="0" w:after="0" w:line="283" w:lineRule="exact"/>
        <w:rPr>
          <w:b/>
          <w:bCs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b/>
          <w:sz w:val="28"/>
        </w:rPr>
        <w:t xml:space="preserve">распоряжением главы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jc w:val="both"/>
        <w:spacing w:before="0" w:after="0" w:line="283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</w:rPr>
        <w:t xml:space="preserve">администр</w:t>
      </w:r>
      <w:r>
        <w:rPr>
          <w:b/>
          <w:sz w:val="28"/>
        </w:rPr>
        <w:t xml:space="preserve">а</w:t>
      </w:r>
      <w:r>
        <w:rPr>
          <w:b/>
          <w:sz w:val="28"/>
        </w:rPr>
        <w:t xml:space="preserve">ции Кировского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jc w:val="both"/>
        <w:spacing w:before="0" w:after="0" w:line="283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</w:rPr>
        <w:t xml:space="preserve">района города Перми от</w:t>
      </w:r>
      <w:r>
        <w:rPr>
          <w:b/>
          <w:sz w:val="28"/>
        </w:rPr>
        <w:t xml:space="preserve"> 20.12.2024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jc w:val="both"/>
        <w:spacing w:before="0" w:after="0" w:line="283" w:lineRule="exact"/>
        <w:rPr>
          <w:rFonts w:ascii="Times New Roman" w:hAnsi="Times New Roman" w:cs="Times New Roman"/>
          <w:b/>
          <w:bCs/>
          <w:sz w:val="28"/>
          <w:szCs w:val="28"/>
        </w:rPr>
        <w:suppressLineNumbers w:val="0"/>
      </w:pPr>
      <w:r>
        <w:rPr>
          <w:b/>
          <w:sz w:val="28"/>
        </w:rPr>
        <w:t xml:space="preserve">№059-23-01-02-199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00"/>
        <w:contextualSpacing/>
        <w:jc w:val="both"/>
        <w:spacing w:before="0" w:after="0" w:line="283" w:lineRule="exact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целях актуализации правового акта главы администрации Кировского района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firstLine="720"/>
        <w:jc w:val="both"/>
      </w:pPr>
      <w:r>
        <w:rPr>
          <w:sz w:val="28"/>
          <w:szCs w:val="28"/>
        </w:rPr>
        <w:t xml:space="preserve">1. Внести изменения в Программу профилактики рисков причинения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вреда (ущерба) охраняемым законом ценностям по муниципальному контролю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сфере благоустройства на территории Кировс</w:t>
      </w:r>
      <w:r>
        <w:rPr>
          <w:sz w:val="28"/>
          <w:szCs w:val="28"/>
        </w:rPr>
        <w:t xml:space="preserve">кого района города Перми на 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год, утвержденную </w:t>
      </w:r>
      <w:r>
        <w:rPr>
          <w:sz w:val="28"/>
          <w:szCs w:val="28"/>
        </w:rPr>
        <w:t xml:space="preserve">распоряжением главы </w:t>
      </w:r>
      <w:r>
        <w:rPr>
          <w:sz w:val="28"/>
          <w:szCs w:val="28"/>
        </w:rPr>
        <w:t xml:space="preserve">администрации Кировского </w:t>
      </w:r>
      <w:r>
        <w:rPr>
          <w:sz w:val="28"/>
          <w:szCs w:val="28"/>
        </w:rPr>
        <w:t xml:space="preserve">района города Перми от 20 декабря 2024 г. </w:t>
      </w:r>
      <w:r>
        <w:rPr>
          <w:sz w:val="28"/>
          <w:szCs w:val="28"/>
        </w:rPr>
        <w:t xml:space="preserve">№059-23-01-02-199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Программы </w:t>
      </w:r>
      <w:r>
        <w:rPr>
          <w:sz w:val="28"/>
          <w:szCs w:val="28"/>
        </w:rPr>
        <w:t xml:space="preserve">профилактики рисков причинения </w:t>
      </w:r>
      <w:r>
        <w:rPr>
          <w:sz w:val="28"/>
          <w:szCs w:val="28"/>
        </w:rPr>
        <w:t xml:space="preserve">вреда (ущерба) охраняемым законом </w:t>
      </w:r>
      <w:r>
        <w:rPr>
          <w:sz w:val="28"/>
          <w:szCs w:val="28"/>
        </w:rPr>
        <w:t xml:space="preserve">ценностям по муниципальному контролю </w:t>
      </w:r>
      <w:r>
        <w:rPr>
          <w:sz w:val="28"/>
          <w:szCs w:val="28"/>
        </w:rPr>
        <w:t xml:space="preserve">в сфере благоустройства на территории </w:t>
      </w:r>
      <w:r>
        <w:rPr>
          <w:sz w:val="28"/>
          <w:szCs w:val="28"/>
        </w:rPr>
        <w:t xml:space="preserve">Кировского района </w:t>
      </w:r>
      <w:r>
        <w:rPr>
          <w:sz w:val="28"/>
          <w:szCs w:val="28"/>
        </w:rPr>
        <w:t xml:space="preserve">города Перми на 2025 год»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новой редакции, согласно приложению к настоящему распоряжению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</w:r>
      <w:r/>
    </w:p>
    <w:p>
      <w:pPr>
        <w:pStyle w:val="90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благоустройства, сектору градостроительства, земельных </w:t>
        <w:br/>
        <w:t xml:space="preserve">и имущественных отношений, отделу потребительского рынка администрации Кировского района 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 обеспечить выполнение Программы профилактики.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firstLine="720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3</w:t>
      </w:r>
      <w:r>
        <w:rPr>
          <w:color w:val="auto"/>
          <w:sz w:val="28"/>
          <w:szCs w:val="28"/>
        </w:rPr>
        <w:t xml:space="preserve">. Отделу по работе с обращениями граждан и информированию населения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администрации Кировского района города Перми обеспечить опубликование</w:t>
      </w:r>
      <w:r>
        <w:rPr>
          <w:color w:val="auto"/>
          <w:sz w:val="28"/>
          <w:szCs w:val="28"/>
        </w:rPr>
        <w:t xml:space="preserve">   </w:t>
      </w:r>
      <w:r>
        <w:rPr>
          <w:color w:val="auto"/>
          <w:sz w:val="28"/>
          <w:szCs w:val="28"/>
        </w:rPr>
        <w:t xml:space="preserve">(обнародование) Программы профилактики на официальном сайте администрации Кировског</w:t>
      </w:r>
      <w:r>
        <w:rPr>
          <w:color w:val="auto"/>
          <w:sz w:val="28"/>
          <w:szCs w:val="28"/>
        </w:rPr>
        <w:t xml:space="preserve">о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района города Перми в информационно - телекоммуникационной сети Интернет </w:t>
      </w:r>
      <w:r>
        <w:rPr>
          <w:color w:val="auto"/>
          <w:sz w:val="28"/>
          <w:szCs w:val="28"/>
        </w:rPr>
        <w:t xml:space="preserve">в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течение 5 дней со дня подписания настоящего распоряжения.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90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распоряжение вступает в силу со дня его официального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обнародования в печатном средстве массовой информации «Официальный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бюллетень органов местного самоуправления муниципального образования город </w:t>
      </w:r>
      <w:r>
        <w:rPr>
          <w:sz w:val="28"/>
          <w:szCs w:val="28"/>
        </w:rPr>
        <w:t xml:space="preserve">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бщему отделу администрации Кировского района города Перми обеспечить официальное обнародование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</w:t>
      </w:r>
      <w:r>
        <w:rPr>
          <w:sz w:val="28"/>
          <w:szCs w:val="28"/>
        </w:rPr>
        <w:t xml:space="preserve">город Пермь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настоящего распоряжения возложить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на первого заместителя главы администрации </w:t>
      </w:r>
      <w:r>
        <w:rPr>
          <w:sz w:val="28"/>
          <w:szCs w:val="28"/>
        </w:rPr>
        <w:t xml:space="preserve">Кировского района города Перми Павлушина А.С.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М.А.Борисов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hd w:val="nil" w:color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br w:type="page" w:clear="all"/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5102" w:right="0" w:firstLine="0"/>
        <w:jc w:val="left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Приложение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contextualSpacing/>
        <w:ind w:left="5102" w:right="0" w:firstLine="0"/>
        <w:jc w:val="left"/>
        <w:spacing w:before="0" w:after="0" w:line="283" w:lineRule="exact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к распоряжению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главы администрации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contextualSpacing/>
        <w:ind w:left="5102" w:right="0" w:firstLine="0"/>
        <w:jc w:val="left"/>
        <w:spacing w:before="0" w:after="0" w:line="283" w:lineRule="exact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Кировского района города Перми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5102" w:right="0" w:firstLine="0"/>
        <w:jc w:val="left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jc w:val="center"/>
        <w:spacing w:before="0" w:after="0" w:line="283" w:lineRule="exact"/>
        <w:rPr>
          <w:rFonts w:ascii="Times New Roman" w:hAnsi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РОГРАММА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(проект)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center"/>
        <w:spacing w:before="0" w:after="0" w:line="283" w:lineRule="exact"/>
        <w:rPr>
          <w:rFonts w:ascii="Times New Roman" w:hAnsi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муниципальному контролю в сфере благоустройства </w:t>
        <w:br/>
        <w:t xml:space="preserve">на территории Кировского района города Перми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54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рограмма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аконом ценностям по муниципальному контролю в сфере благоустройства </w:t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территории Кировского района города Перми на 2025 год (далее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Программа профилактики)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разработана в соответствии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 положениями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Федерального закона от 31 июля 2021 г. № 248-ФЗ «О государственном контроле (надзоре) </w:t>
        <w:br/>
        <w:t xml:space="preserve">и муниципальном контроле в Российской Федерации»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(далее – Федеральный закон № 248-ФЗ)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постановлени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Правительства Российской Федерации                    от 25 июня 2021 г.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990 «Об утверждении Правил разработки и утверждения контрольными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(надзорными) органами программы профилактики рисков причинения вреда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(ущерба) охраняемым законом ценностям»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решения Пермской городской Думы от 21 декабря 2021 г. № 319 «О муниципальном контроле             в сфере благоустройства на территории города Перми».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Программа профилактики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предусматривает комплекс мероприятий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Кировского района города Перми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контроль в сфере благоустройства на территории Кировского района  города Перми осуществляется администрацией Кировского района города Перми (далее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контрольный орган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Предметом муниципального контрольного в сфере благоустройства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соблюдение организациями, гражданами, в том числе осуществляющими предпринимательскую деятельность, Правил благоустройства территории города Перми, утвержденных решением Пермской городской Думы от 15 декабря 2020 г. № 277, в том числе требований к обеспече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нию доступности для инвалидов объектов социальной, инженерной и транспортной инфраструктур                                и предоставляемых услуг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далее - обязательные требования)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Объектами муниципального контроля в сфере благоустройства  являются: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деятельность, действия (бездействие) контролируемых лиц, в рамках которых должны соблюдаться обязательные требования, в том числе предъявляемые                  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контролируемым лицам, осуществляющим деятельность, действия (бездействие),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результаты деятельности контролируемых лиц, в том числе продукция (товары), работы и услуги, к которым предъявляются обязательные требования,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4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з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дания, помещения, сооружения, линейные объекты, территории, включая водные, земельные и лесные участки, оборудование, устройства, предметы, материалы, компоненты природной среды, природные и природно-антропогенные объекты, другие объекты, которыми контроли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руемые лица владеют и (или) пользуются, компоненты природной среды, природные </w:t>
        <w:br/>
        <w:t xml:space="preserve">и природно-антропогенные объекты, не находящиеся во владении и (или) </w:t>
        <w:br/>
        <w:t xml:space="preserve">в пользовании граждан или организаций, к которым предъявляются обязательные требования.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jc w:val="center"/>
        <w:spacing w:before="0" w:after="0" w:line="283" w:lineRule="exact"/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Раздел 1. Анализ текущего состояния осуществления муниципального контроля в сфере благоустройства на территории Кировского района города Перми, </w:t>
      </w:r>
      <w:bookmarkStart w:id="0" w:name="undefined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описание текущего уровня развития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профилактической деятельности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контрольного органа</w:t>
      </w:r>
      <w:bookmarkEnd w:id="0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характеристика проблем, </w:t>
        <w:br/>
        <w:t xml:space="preserve">на решение которых направлена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Программа профилактики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contextualSpacing/>
        <w:ind w:firstLine="567"/>
        <w:jc w:val="center"/>
        <w:spacing w:before="0" w:after="0" w:line="283" w:lineRule="exact"/>
        <w:tabs>
          <w:tab w:val="left" w:pos="2977" w:leader="none"/>
        </w:tabs>
        <w:suppressLineNumbers w:val="0"/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ind w:firstLine="567"/>
        <w:jc w:val="both"/>
        <w:spacing w:after="0" w:line="240" w:lineRule="auto"/>
        <w:tabs>
          <w:tab w:val="left" w:pos="2977" w:leader="none"/>
        </w:tabs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eastAsia="ru-RU"/>
        </w:rPr>
        <w:t xml:space="preserve">В соответствии 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решением Пермской городской Думы от 21 декабря 2021 г. </w:t>
        <w:br/>
        <w:t xml:space="preserve">№ 319 «О муниципальном контроле в сфере благоустройства на территории города Перми»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ru-RU"/>
        </w:rPr>
        <w:t xml:space="preserve"> плановые контрольные мероприятия при осуществлении муниципального контроля в сфере благоустройства не проводятся.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ru-RU"/>
        </w:rPr>
      </w:r>
      <w:r/>
    </w:p>
    <w:p>
      <w:pPr>
        <w:pStyle w:val="900"/>
        <w:contextualSpacing/>
        <w:ind w:firstLine="709"/>
        <w:jc w:val="both"/>
        <w:spacing w:line="240" w:lineRule="auto"/>
        <w:rPr>
          <w:rFonts w:ascii="Times New Roman" w:hAnsi="Times New Roman" w:eastAsia="Calibri" w:cs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 xml:space="preserve">соблюдением требований,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 марта 2022 г.                                           № 336 «Об особенностях организации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осуществления государственного контроля (надзора), муниципального контроля» </w:t>
      </w:r>
      <w:r>
        <w:rPr>
          <w:rFonts w:ascii="Times New Roman" w:hAnsi="Times New Roman" w:cs="Times New Roman"/>
          <w:sz w:val="28"/>
          <w:szCs w:val="28"/>
        </w:rPr>
        <w:t xml:space="preserve">внеплановые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  <w:br/>
      </w:r>
      <w:r>
        <w:rPr>
          <w:rFonts w:ascii="Times New Roman" w:hAnsi="Times New Roman" w:cs="Times New Roman"/>
          <w:sz w:val="28"/>
          <w:szCs w:val="28"/>
        </w:rPr>
        <w:t xml:space="preserve">со взаимодействием с контролируемыми лицами </w:t>
      </w:r>
      <w:r>
        <w:rPr>
          <w:rFonts w:ascii="Times New Roman" w:hAnsi="Times New Roman" w:cs="Times New Roman"/>
          <w:sz w:val="28"/>
          <w:szCs w:val="28"/>
        </w:rPr>
        <w:t xml:space="preserve">в 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году не проводились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  <w:tab/>
      </w:r>
      <w:r>
        <w:rPr>
          <w:rFonts w:ascii="Times New Roman" w:hAnsi="Times New Roman" w:cs="Times New Roman"/>
          <w:sz w:val="28"/>
          <w:szCs w:val="28"/>
        </w:rPr>
        <w:t xml:space="preserve">В 2024 году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осуществлялись контрольные мероприятия без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с контролируемыми лицами.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ru-RU"/>
        </w:rPr>
      </w:r>
    </w:p>
    <w:p>
      <w:pPr>
        <w:pStyle w:val="900"/>
        <w:contextualSpacing/>
        <w:ind w:firstLine="709"/>
        <w:jc w:val="both"/>
      </w:pPr>
      <w:r>
        <w:rPr>
          <w:sz w:val="28"/>
          <w:szCs w:val="28"/>
        </w:rPr>
        <w:t xml:space="preserve">В соответствии со статьей 44 Федерального закона № 248-ФЗ в целях стимулирования добросовестного соблюдения обязательных требований всеми контролируемыми лицами; устранени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условий, причин и факторов, способных привести к нарушениям обязательных требований и(или) причинению вреда (ущерба) охраняемым законом ценностям; создания условий для доведения обязательных требований до контролируемых лиц,</w:t>
      </w:r>
      <w:r>
        <w:rPr>
          <w:sz w:val="28"/>
          <w:szCs w:val="28"/>
        </w:rPr>
        <w:t xml:space="preserve"> повышения информированности о способах их соблюдения</w:t>
      </w:r>
      <w:r>
        <w:rPr>
          <w:sz w:val="28"/>
          <w:szCs w:val="28"/>
        </w:rPr>
        <w:t xml:space="preserve"> распоряжением и.о. главы администрации Кировского района города Перми от 20 декабря 2023 г.                     № 059-23-01-02-231 </w:t>
      </w:r>
      <w:r>
        <w:rPr>
          <w:sz w:val="28"/>
          <w:szCs w:val="28"/>
        </w:rPr>
        <w:t xml:space="preserve">утверждена Программа профилактики рисков причинения вреда (ущерба) охраняемым законом ценностям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              в сфере благоустройства на территории Кировского района города Перми                       на 2024</w:t>
      </w:r>
      <w:r>
        <w:rPr>
          <w:sz w:val="28"/>
          <w:szCs w:val="28"/>
        </w:rPr>
        <w:t xml:space="preserve"> год, которая, исполняется в полном объеме.</w:t>
      </w:r>
      <w:r>
        <w:rPr>
          <w:sz w:val="28"/>
          <w:szCs w:val="28"/>
        </w:rPr>
      </w:r>
      <w:r/>
    </w:p>
    <w:p>
      <w:pPr>
        <w:pStyle w:val="900"/>
        <w:contextualSpacing/>
        <w:ind w:firstLine="709"/>
        <w:jc w:val="both"/>
      </w:pPr>
      <w:r>
        <w:rPr>
          <w:sz w:val="28"/>
          <w:szCs w:val="28"/>
        </w:rPr>
        <w:t xml:space="preserve">Так, размещается</w:t>
      </w:r>
      <w:r>
        <w:rPr>
          <w:rFonts w:ascii="Calibri" w:hAnsi="Calibri"/>
          <w:sz w:val="22"/>
          <w:szCs w:val="22"/>
        </w:rPr>
        <w:t xml:space="preserve"> </w:t>
      </w:r>
      <w:r>
        <w:rPr>
          <w:sz w:val="28"/>
          <w:szCs w:val="28"/>
        </w:rPr>
        <w:t xml:space="preserve">и поддерживается в актуальном состоянии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r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администрации Кировског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города Перми </w:t>
        <w:br/>
        <w:t xml:space="preserve">в информационно - телекоммуникационной сети Интернет </w:t>
      </w:r>
      <w:r>
        <w:rPr>
          <w:sz w:val="28"/>
          <w:szCs w:val="28"/>
        </w:rPr>
        <w:t xml:space="preserve">(далее – официальный сайт)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информация, размещение которой предусмотрено частью 3 статьи 46 Федерального закона </w:t>
      </w:r>
      <w:r>
        <w:rPr>
          <w:sz w:val="28"/>
          <w:szCs w:val="28"/>
        </w:rPr>
        <w:t xml:space="preserve">№ 248-ФЗ.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900"/>
        <w:contextualSpacing/>
        <w:ind w:firstLine="709"/>
        <w:jc w:val="both"/>
      </w:pPr>
      <w:r>
        <w:rPr>
          <w:sz w:val="28"/>
          <w:szCs w:val="28"/>
        </w:rPr>
        <w:t xml:space="preserve">В целях обеспечения и поддержания перечня и текстов нормативных правовых актов в актуальном состоянии проводится мониторинг изменений нормативных правовых актов, включенных в перечень.</w:t>
      </w:r>
      <w:r>
        <w:rPr>
          <w:sz w:val="28"/>
          <w:szCs w:val="28"/>
        </w:rPr>
      </w:r>
      <w:r/>
    </w:p>
    <w:p>
      <w:pPr>
        <w:pStyle w:val="900"/>
        <w:contextualSpacing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Специалистами администрации Кировского района города Перми </w:t>
        <w:br/>
        <w:t xml:space="preserve">на регулярной основе</w:t>
      </w:r>
      <w:r>
        <w:rPr>
          <w:sz w:val="28"/>
          <w:szCs w:val="28"/>
        </w:rPr>
        <w:t xml:space="preserve"> посредством телефонной связи, в ходе личного приема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роводится консультирование контролируемых лиц по соблюдению обязательных требований.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Особое внимание по информированию контролируемых лиц </w:t>
        <w:br/>
        <w:t xml:space="preserve">о  соблюдении обязательных требований уделено  следующим вопросам: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 надлежащему содержанию объектов в зимний период (принятию незамедлительных мер по уборке от снега и наледи дорог и тротуаров, по очистке конструктивных элементов зданий, строений, сооружений от снежно-ледовых образований);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 устранению </w:t>
      </w:r>
      <w:r>
        <w:rPr>
          <w:sz w:val="28"/>
        </w:rPr>
        <w:t xml:space="preserve">надписей, г</w:t>
      </w:r>
      <w:r>
        <w:rPr>
          <w:sz w:val="28"/>
        </w:rPr>
        <w:t xml:space="preserve">рафических рисунков</w:t>
      </w:r>
      <w:r>
        <w:rPr>
          <w:sz w:val="28"/>
        </w:rPr>
        <w:t xml:space="preserve"> и иных изображений, </w:t>
      </w:r>
      <w:r>
        <w:rPr>
          <w:sz w:val="28"/>
        </w:rPr>
        <w:br/>
      </w:r>
      <w:r>
        <w:rPr>
          <w:sz w:val="28"/>
        </w:rPr>
        <w:t xml:space="preserve">содержащих </w:t>
      </w:r>
      <w:r>
        <w:rPr>
          <w:sz w:val="28"/>
        </w:rPr>
        <w:t xml:space="preserve">информацию, не соответству</w:t>
      </w:r>
      <w:r>
        <w:rPr>
          <w:sz w:val="28"/>
        </w:rPr>
        <w:t xml:space="preserve">ю</w:t>
      </w:r>
      <w:r>
        <w:rPr>
          <w:sz w:val="28"/>
        </w:rPr>
        <w:t xml:space="preserve">щ</w:t>
      </w:r>
      <w:r>
        <w:rPr>
          <w:sz w:val="28"/>
        </w:rPr>
        <w:t xml:space="preserve">ую</w:t>
      </w:r>
      <w:r>
        <w:rPr>
          <w:sz w:val="28"/>
        </w:rPr>
        <w:t xml:space="preserve"> </w:t>
      </w:r>
      <w:r>
        <w:rPr>
          <w:sz w:val="28"/>
        </w:rPr>
        <w:t xml:space="preserve">требованиям законодательства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 надлежащему содержанию колодцев и люков инженерных коммуникаций, принятию незамедлительных мер по обеспечению безопасности людей при выявлении открытых колодцев;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 соблюдению установленных сроков производства земляных работ;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 недопущению складирования мусора, порубочных остатков деревьев </w:t>
        <w:br/>
        <w:t xml:space="preserve">на территории общего пользовани</w:t>
      </w:r>
      <w:r>
        <w:rPr>
          <w:sz w:val="28"/>
          <w:szCs w:val="28"/>
          <w:highlight w:val="none"/>
        </w:rPr>
        <w:t xml:space="preserve">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по установленным требованиям к внешнему виду и размещению некапитальных строений и сооружений;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 соблюдению установленных требований к вывескам;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widowControl w:val="off"/>
        <w:rPr>
          <w:highlight w:val="none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предотвращению распространения и уничтоже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нию борщевика Сосновского</w:t>
      </w:r>
      <w:r>
        <w:rPr>
          <w:sz w:val="28"/>
          <w:szCs w:val="28"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contextualSpacing/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 данным аспектам в течение 2024 года еженедельно указанная информация доводилась до управляющих и ресурсоснабжающих организаций посредством проведения совещаний, направления информационных писем.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Также указанная информация размещалась на официальном сайте контрольного органа, направлялась в ТОС Кировского района с целью размещения на своих информационных ресурсах. </w:t>
      </w:r>
      <w:r>
        <w:rPr>
          <w:sz w:val="28"/>
          <w:szCs w:val="28"/>
          <w:highlight w:val="none"/>
        </w:rPr>
        <w:t xml:space="preserve">В частности информация </w:t>
      </w:r>
      <w:r>
        <w:rPr>
          <w:rFonts w:ascii="Times New Roman" w:hAnsi="Times New Roman" w:cs="Times New Roman"/>
          <w:sz w:val="28"/>
          <w:szCs w:val="28"/>
          <w:highlight w:val="none"/>
        </w:rPr>
        <w:br/>
        <w:t xml:space="preserve">по предотвращению распространения и уничтоже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нию борщевика Сосновского</w:t>
      </w:r>
      <w:r>
        <w:rPr>
          <w:sz w:val="28"/>
          <w:szCs w:val="28"/>
          <w:highlight w:val="none"/>
        </w:rPr>
        <w:t xml:space="preserve"> была размещена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телекоммуникационной сети интернет в сообществе  ВКонтакте на страницах: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«Общественность Кир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овского района»,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«МОО ТОС «Судозаводский»,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«МОО ТОС «Новые Водники»;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«ТОС «Налимиха»,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МОО ТОС «Октябрьский» Кировского района»,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«г. Пермь. ТОС Новая Налимиха»,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Кировская районная организация ПКО ВОИ,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«ТОС «Новый Крым»,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«Совет ветеранов Кировского района города Перми»,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«ТОС Центальный. Пермь, Закамск»,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«Олег – Вшивков Новый - Чистопольский»,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«ТОС «Химградский», «ТОС «Водники».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0"/>
        <w:contextualSpacing/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 состоянию на 25 сентября 2024 года администрацией Кировского района города Перми в рамках проведения контрольных мероприятий </w:t>
        <w:br/>
        <w:t xml:space="preserve">без взаимодействия с контролируемыми лицами проведено 278 выездных обследований, 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ru-RU"/>
        </w:rPr>
        <w:t xml:space="preserve">выданы предписания об устранении нарушений по 183 объектам</w:t>
      </w:r>
      <w:r>
        <w:rPr>
          <w:sz w:val="28"/>
          <w:szCs w:val="28"/>
        </w:rPr>
        <w:t xml:space="preserve">, объявлено 86 предостережений по 203 объектам.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0"/>
        <w:ind w:firstLine="709"/>
        <w:jc w:val="both"/>
        <w:spacing w:after="240"/>
        <w:widowControl w:val="off"/>
      </w:pPr>
      <w:r>
        <w:rPr>
          <w:sz w:val="28"/>
          <w:szCs w:val="28"/>
        </w:rPr>
        <w:t xml:space="preserve">Оценка эффективности Программы профилактики на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 осуществлялась по следующим показателям:</w:t>
      </w:r>
      <w:r>
        <w:rPr>
          <w:sz w:val="28"/>
          <w:szCs w:val="28"/>
        </w:rPr>
      </w:r>
      <w:r/>
    </w:p>
    <w:tbl>
      <w:tblPr>
        <w:tblW w:w="4969" w:type="pct"/>
        <w:tblInd w:w="62" w:type="dxa"/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589"/>
        <w:gridCol w:w="6357"/>
        <w:gridCol w:w="3031"/>
      </w:tblGrid>
      <w:tr>
        <w:tblPrEx/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" w:type="pct"/>
            <w:vAlign w:val="top"/>
            <w:textDirection w:val="lrTb"/>
            <w:noWrap w:val="false"/>
          </w:tcPr>
          <w:p>
            <w:pPr>
              <w:pStyle w:val="900"/>
              <w:contextualSpacing/>
              <w:jc w:val="center"/>
              <w:widowControl w:val="off"/>
            </w:pPr>
            <w:r>
              <w:rPr>
                <w:sz w:val="24"/>
                <w:szCs w:val="24"/>
              </w:rPr>
              <w:t xml:space="preserve">№ п/п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6" w:type="pct"/>
            <w:vAlign w:val="top"/>
            <w:textDirection w:val="lrTb"/>
            <w:noWrap w:val="false"/>
          </w:tcPr>
          <w:p>
            <w:pPr>
              <w:pStyle w:val="900"/>
              <w:contextualSpacing/>
              <w:jc w:val="center"/>
              <w:widowControl w:val="off"/>
            </w:pPr>
            <w:r>
              <w:rPr>
                <w:sz w:val="24"/>
                <w:szCs w:val="24"/>
              </w:rPr>
              <w:t xml:space="preserve">Наименование показателя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9" w:type="pct"/>
            <w:vAlign w:val="top"/>
            <w:textDirection w:val="lrTb"/>
            <w:noWrap w:val="false"/>
          </w:tcPr>
          <w:p>
            <w:pPr>
              <w:pStyle w:val="900"/>
              <w:contextualSpacing/>
              <w:jc w:val="center"/>
              <w:widowControl w:val="off"/>
            </w:pPr>
            <w:r>
              <w:rPr>
                <w:sz w:val="24"/>
                <w:szCs w:val="24"/>
              </w:rPr>
              <w:t xml:space="preserve">Значение показателя </w:t>
              <w:br/>
              <w:t xml:space="preserve">за 2024</w:t>
            </w:r>
            <w:r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  <w:vertAlign w:val="superscript"/>
              </w:rPr>
            </w:r>
            <w:r/>
          </w:p>
        </w:tc>
      </w:tr>
    </w:tbl>
    <w:p>
      <w:pPr>
        <w:pStyle w:val="900"/>
      </w:pPr>
      <w:r>
        <w:rPr>
          <w:sz w:val="6"/>
          <w:szCs w:val="6"/>
        </w:rPr>
      </w:r>
      <w:r>
        <w:rPr>
          <w:sz w:val="6"/>
          <w:szCs w:val="6"/>
        </w:rPr>
      </w:r>
      <w:r/>
    </w:p>
    <w:tbl>
      <w:tblPr>
        <w:tblW w:w="4969" w:type="pct"/>
        <w:tblInd w:w="62" w:type="dxa"/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589"/>
        <w:gridCol w:w="6357"/>
        <w:gridCol w:w="3031"/>
      </w:tblGrid>
      <w:tr>
        <w:tblPrEx/>
        <w:trPr>
          <w:cantSplit/>
          <w:trHeight w:val="226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" w:type="pct"/>
            <w:vAlign w:val="top"/>
            <w:textDirection w:val="lrTb"/>
            <w:noWrap w:val="false"/>
          </w:tcPr>
          <w:p>
            <w:pPr>
              <w:pStyle w:val="900"/>
              <w:contextualSpacing/>
              <w:jc w:val="center"/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6" w:type="pct"/>
            <w:vAlign w:val="top"/>
            <w:textDirection w:val="lrTb"/>
            <w:noWrap w:val="false"/>
          </w:tcPr>
          <w:p>
            <w:pPr>
              <w:pStyle w:val="900"/>
              <w:contextualSpacing/>
              <w:jc w:val="center"/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9" w:type="pct"/>
            <w:vAlign w:val="top"/>
            <w:textDirection w:val="lrTb"/>
            <w:noWrap w:val="false"/>
          </w:tcPr>
          <w:p>
            <w:pPr>
              <w:pStyle w:val="900"/>
              <w:contextualSpacing/>
              <w:jc w:val="center"/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</w:tc>
      </w:tr>
      <w:tr>
        <w:tblPrEx/>
        <w:trPr>
          <w:cantSplit/>
          <w:trHeight w:val="12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" w:type="pct"/>
            <w:vAlign w:val="top"/>
            <w:textDirection w:val="lrTb"/>
            <w:noWrap w:val="false"/>
          </w:tcPr>
          <w:p>
            <w:pPr>
              <w:pStyle w:val="900"/>
              <w:contextualSpacing/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6" w:type="pct"/>
            <w:vAlign w:val="top"/>
            <w:textDirection w:val="lrTb"/>
            <w:noWrap w:val="false"/>
          </w:tcPr>
          <w:p>
            <w:pPr>
              <w:pStyle w:val="900"/>
              <w:contextualSpacing/>
            </w:pPr>
            <w:r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</w:t>
            </w:r>
            <w:r>
              <w:rPr>
                <w:sz w:val="24"/>
                <w:szCs w:val="24"/>
              </w:rPr>
              <w:t xml:space="preserve"> в информационно-телекоммуникационной сети «Интернет» в соответствии </w:t>
              <w:br/>
              <w:t xml:space="preserve">с частью 3 статьи 46 Федерального закона</w:t>
            </w:r>
            <w:r>
              <w:rPr>
                <w:sz w:val="24"/>
                <w:szCs w:val="24"/>
              </w:rPr>
              <w:t xml:space="preserve"> № 248-ФЗ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9" w:type="pct"/>
            <w:vAlign w:val="top"/>
            <w:textDirection w:val="lrTb"/>
            <w:noWrap w:val="false"/>
          </w:tcPr>
          <w:p>
            <w:pPr>
              <w:pStyle w:val="900"/>
              <w:contextualSpacing/>
              <w:jc w:val="center"/>
            </w:pPr>
            <w:r>
              <w:rPr>
                <w:sz w:val="24"/>
                <w:szCs w:val="24"/>
              </w:rPr>
              <w:t xml:space="preserve">Выполнено на </w:t>
            </w:r>
            <w:r>
              <w:rPr>
                <w:sz w:val="24"/>
                <w:szCs w:val="24"/>
              </w:rPr>
              <w:t xml:space="preserve">100 %</w:t>
            </w:r>
            <w:r>
              <w:rPr>
                <w:sz w:val="24"/>
                <w:szCs w:val="24"/>
              </w:rPr>
            </w:r>
            <w:r/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" w:type="pct"/>
            <w:vAlign w:val="top"/>
            <w:textDirection w:val="lrTb"/>
            <w:noWrap w:val="false"/>
          </w:tcPr>
          <w:p>
            <w:pPr>
              <w:pStyle w:val="900"/>
              <w:contextualSpacing/>
            </w:pPr>
            <w:r>
              <w:rPr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6" w:type="pct"/>
            <w:vAlign w:val="top"/>
            <w:textDirection w:val="lrTb"/>
            <w:noWrap w:val="false"/>
          </w:tcPr>
          <w:p>
            <w:pPr>
              <w:pStyle w:val="900"/>
              <w:contextualSpacing/>
            </w:pPr>
            <w:r>
              <w:rPr>
                <w:sz w:val="24"/>
                <w:szCs w:val="24"/>
              </w:rPr>
              <w:t xml:space="preserve">Доля устраненных нарушений, принятых контролируемыми лицами мер к соблюдению требований законодательства, от числа объявленных предостережений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9" w:type="pct"/>
            <w:vAlign w:val="top"/>
            <w:textDirection w:val="lrTb"/>
            <w:noWrap w:val="false"/>
          </w:tcPr>
          <w:p>
            <w:pPr>
              <w:pStyle w:val="900"/>
              <w:contextualSpacing/>
              <w:jc w:val="center"/>
            </w:pPr>
            <w:r>
              <w:rPr>
                <w:sz w:val="24"/>
                <w:szCs w:val="24"/>
              </w:rPr>
              <w:t xml:space="preserve">Выполнено на 100 %</w:t>
            </w:r>
            <w:r>
              <w:rPr>
                <w:sz w:val="24"/>
                <w:szCs w:val="24"/>
              </w:rPr>
              <w:t xml:space="preserve"> Сведений об отказе </w:t>
              <w:br/>
              <w:t xml:space="preserve">в обеспечении соблюдения обязательных требований от контролируемых лиц </w:t>
              <w:br/>
              <w:t xml:space="preserve">не поступало </w:t>
              <w:br/>
            </w:r>
            <w:r/>
          </w:p>
        </w:tc>
      </w:tr>
      <w:tr>
        <w:tblPrEx/>
        <w:trPr>
          <w:trHeight w:val="3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" w:type="pct"/>
            <w:vAlign w:val="top"/>
            <w:textDirection w:val="lrTb"/>
            <w:noWrap w:val="false"/>
          </w:tcPr>
          <w:p>
            <w:pPr>
              <w:pStyle w:val="900"/>
              <w:contextualSpacing/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6" w:type="pct"/>
            <w:vAlign w:val="top"/>
            <w:textDirection w:val="lrTb"/>
            <w:noWrap w:val="false"/>
          </w:tcPr>
          <w:p>
            <w:pPr>
              <w:pStyle w:val="900"/>
              <w:contextualSpacing/>
            </w:pPr>
            <w:r>
              <w:rPr>
                <w:sz w:val="24"/>
                <w:szCs w:val="24"/>
              </w:rPr>
              <w:t xml:space="preserve">Доля лиц, получивших консультации, от общего количества обратившихся за консультациями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9" w:type="pct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Выполнено на 100 %</w:t>
            </w:r>
            <w:r>
              <w:rPr>
                <w:sz w:val="24"/>
                <w:szCs w:val="24"/>
              </w:rPr>
              <w:t xml:space="preserve"> </w:t>
            </w:r>
            <w:r/>
          </w:p>
        </w:tc>
      </w:tr>
    </w:tbl>
    <w:p>
      <w:pPr>
        <w:pStyle w:val="900"/>
        <w:contextualSpacing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00"/>
        <w:ind w:firstLine="709"/>
        <w:jc w:val="both"/>
      </w:pPr>
      <w:r>
        <w:rPr>
          <w:sz w:val="28"/>
          <w:szCs w:val="28"/>
        </w:rPr>
        <w:t xml:space="preserve">Анализ текущего состояния осуществления </w:t>
      </w:r>
      <w:r>
        <w:rPr>
          <w:sz w:val="28"/>
          <w:szCs w:val="28"/>
        </w:rPr>
        <w:t xml:space="preserve">муниципального контроля </w:t>
        <w:br/>
        <w:t xml:space="preserve">в сфере благоустройства показывает, что уровень реализации </w:t>
      </w:r>
      <w:r>
        <w:rPr>
          <w:sz w:val="28"/>
          <w:szCs w:val="28"/>
        </w:rPr>
        <w:t xml:space="preserve">Программы</w:t>
      </w:r>
      <w:r>
        <w:rPr>
          <w:sz w:val="28"/>
          <w:szCs w:val="28"/>
        </w:rPr>
        <w:t xml:space="preserve"> профилактики является высоким, поскольку доля выполненных профилактических мероприятий соответствует запланированны</w:t>
      </w:r>
      <w:r>
        <w:rPr>
          <w:sz w:val="28"/>
          <w:szCs w:val="28"/>
        </w:rPr>
        <w:t xml:space="preserve">м показателям</w:t>
      </w:r>
      <w:r>
        <w:rPr>
          <w:sz w:val="28"/>
          <w:szCs w:val="28"/>
        </w:rPr>
        <w:t xml:space="preserve">, </w:t>
        <w:br/>
        <w:t xml:space="preserve">а, следовательно, изменение интенсивности </w:t>
      </w:r>
      <w:r>
        <w:rPr>
          <w:sz w:val="28"/>
          <w:szCs w:val="28"/>
        </w:rPr>
        <w:t xml:space="preserve">профилактических мероприятий </w:t>
        <w:br/>
        <w:t xml:space="preserve">не требуется.</w:t>
      </w:r>
      <w:r>
        <w:rPr>
          <w:b/>
          <w:bCs/>
          <w:sz w:val="28"/>
          <w:szCs w:val="28"/>
          <w:highlight w:val="none"/>
        </w:rPr>
      </w:r>
      <w:r/>
    </w:p>
    <w:p>
      <w:pPr>
        <w:contextualSpacing/>
        <w:jc w:val="center"/>
        <w:widowControl w:val="off"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00"/>
        <w:contextualSpacing/>
        <w:jc w:val="center"/>
        <w:widowControl w:val="off"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</w:rPr>
        <w:t xml:space="preserve">Раздел 2. Цели и задачи реализации Программы профилактики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00"/>
        <w:contextualSpacing/>
        <w:jc w:val="both"/>
        <w:widowControl w:val="off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00"/>
        <w:contextualSpacing/>
        <w:jc w:val="center"/>
        <w:widowControl w:val="off"/>
        <w:outlineLvl w:val="2"/>
      </w:pPr>
      <w:r>
        <w:rPr>
          <w:b/>
          <w:bCs/>
          <w:sz w:val="28"/>
          <w:szCs w:val="28"/>
        </w:rPr>
        <w:t xml:space="preserve">Основными целями Программы профилактики являются:</w:t>
      </w:r>
      <w:r>
        <w:rPr>
          <w:b/>
          <w:bCs/>
          <w:sz w:val="28"/>
          <w:szCs w:val="28"/>
        </w:rPr>
      </w:r>
      <w:r/>
    </w:p>
    <w:p>
      <w:pPr>
        <w:pStyle w:val="900"/>
        <w:contextualSpacing/>
        <w:jc w:val="center"/>
        <w:widowControl w:val="off"/>
        <w:outlineLvl w:val="2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pStyle w:val="900"/>
        <w:numPr>
          <w:ilvl w:val="0"/>
          <w:numId w:val="1"/>
        </w:numPr>
        <w:contextualSpacing/>
        <w:ind w:left="0" w:firstLine="709"/>
        <w:jc w:val="both"/>
        <w:spacing w:after="200"/>
        <w:widowControl w:val="off"/>
        <w:outlineLvl w:val="2"/>
      </w:pPr>
      <w:r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лицами.</w:t>
      </w:r>
      <w:r>
        <w:rPr>
          <w:sz w:val="28"/>
          <w:szCs w:val="28"/>
        </w:rPr>
      </w:r>
      <w:r/>
    </w:p>
    <w:p>
      <w:pPr>
        <w:pStyle w:val="900"/>
        <w:numPr>
          <w:ilvl w:val="0"/>
          <w:numId w:val="1"/>
        </w:numPr>
        <w:contextualSpacing/>
        <w:ind w:left="0" w:firstLine="709"/>
        <w:jc w:val="both"/>
        <w:spacing w:after="200"/>
        <w:widowControl w:val="off"/>
        <w:outlineLvl w:val="2"/>
      </w:pPr>
      <w:r>
        <w:rPr>
          <w:sz w:val="28"/>
          <w:szCs w:val="28"/>
        </w:rPr>
        <w:t xml:space="preserve">Устранение условий, причин и факторов, способных привести </w:t>
        <w:br/>
        <w:t xml:space="preserve">к нарушениям обязательных требований и (или) причинению вреда (ущерба) охраняемым законом ценностям.</w:t>
      </w:r>
      <w:r>
        <w:rPr>
          <w:bCs/>
          <w:sz w:val="28"/>
          <w:szCs w:val="28"/>
        </w:rPr>
      </w:r>
      <w:r/>
    </w:p>
    <w:p>
      <w:pPr>
        <w:pStyle w:val="900"/>
        <w:numPr>
          <w:ilvl w:val="0"/>
          <w:numId w:val="1"/>
        </w:numPr>
        <w:contextualSpacing/>
        <w:ind w:left="0" w:firstLine="709"/>
        <w:jc w:val="both"/>
        <w:spacing w:after="200"/>
        <w:widowControl w:val="off"/>
        <w:outlineLvl w:val="2"/>
      </w:pPr>
      <w:r>
        <w:rPr>
          <w:sz w:val="28"/>
          <w:szCs w:val="28"/>
        </w:rPr>
        <w:t xml:space="preserve">Создание условий для доведения обязательных требований </w:t>
        <w:br/>
        <w:t xml:space="preserve">до контролируемых лиц, повышение информированности о способах </w:t>
        <w:br/>
        <w:t xml:space="preserve">их соблюдения.</w:t>
      </w:r>
      <w:r>
        <w:rPr>
          <w:bCs/>
          <w:sz w:val="28"/>
          <w:szCs w:val="28"/>
        </w:rPr>
      </w:r>
      <w:r/>
    </w:p>
    <w:p>
      <w:pPr>
        <w:pStyle w:val="900"/>
        <w:numPr>
          <w:ilvl w:val="0"/>
          <w:numId w:val="1"/>
        </w:numPr>
        <w:contextualSpacing/>
        <w:ind w:left="0" w:firstLine="709"/>
        <w:jc w:val="both"/>
        <w:spacing w:after="200"/>
        <w:widowControl w:val="off"/>
        <w:outlineLvl w:val="2"/>
      </w:pPr>
      <w:r>
        <w:rPr>
          <w:bCs/>
          <w:sz w:val="28"/>
          <w:szCs w:val="28"/>
        </w:rPr>
        <w:t xml:space="preserve">Предупреждение нарушений обязательных требований со стороны контролируемых лиц.</w:t>
      </w:r>
      <w:r>
        <w:rPr>
          <w:bCs/>
          <w:sz w:val="28"/>
          <w:szCs w:val="28"/>
        </w:rPr>
      </w:r>
      <w:r/>
    </w:p>
    <w:p>
      <w:pPr>
        <w:pStyle w:val="900"/>
        <w:numPr>
          <w:ilvl w:val="0"/>
          <w:numId w:val="1"/>
        </w:numPr>
        <w:ind w:left="0" w:firstLine="709"/>
        <w:jc w:val="both"/>
        <w:spacing w:after="360"/>
        <w:outlineLvl w:val="2"/>
      </w:pPr>
      <w:r>
        <w:rPr>
          <w:bCs/>
          <w:sz w:val="28"/>
          <w:szCs w:val="28"/>
        </w:rPr>
        <w:t xml:space="preserve">Повышение открытости и прозрачности деятельности контрольного органа</w:t>
      </w:r>
      <w:r>
        <w:rPr>
          <w:bCs/>
          <w:sz w:val="28"/>
          <w:szCs w:val="28"/>
        </w:rPr>
        <w:t xml:space="preserve"> при осуществлении </w:t>
      </w:r>
      <w:r>
        <w:rPr>
          <w:bCs/>
          <w:sz w:val="28"/>
          <w:szCs w:val="28"/>
        </w:rPr>
        <w:t xml:space="preserve">муниципального контроля</w:t>
      </w:r>
      <w:r>
        <w:rPr>
          <w:bCs/>
          <w:sz w:val="28"/>
          <w:szCs w:val="28"/>
        </w:rPr>
        <w:t xml:space="preserve"> в сфере благоустройства.</w:t>
      </w:r>
      <w:r>
        <w:rPr>
          <w:b/>
          <w:bCs/>
          <w:sz w:val="28"/>
          <w:szCs w:val="28"/>
        </w:rPr>
      </w:r>
      <w:r/>
    </w:p>
    <w:p>
      <w:pPr>
        <w:ind w:left="709" w:firstLine="0"/>
        <w:jc w:val="both"/>
        <w:spacing w:after="360"/>
        <w:outlineLvl w:val="2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/>
    </w:p>
    <w:p>
      <w:pPr>
        <w:shd w:val="nil" w:color="auto"/>
        <w:outlineLvl w:val="2"/>
        <w:suppressLineNumbers w:val="0"/>
      </w:pPr>
      <w:r>
        <w:br w:type="page" w:clear="all"/>
      </w:r>
      <w:r/>
    </w:p>
    <w:p>
      <w:pPr>
        <w:contextualSpacing/>
        <w:jc w:val="center"/>
        <w:outlineLvl w:val="2"/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/>
    </w:p>
    <w:p>
      <w:pPr>
        <w:contextualSpacing/>
        <w:jc w:val="center"/>
        <w:rPr>
          <w:b/>
          <w:bCs/>
          <w:sz w:val="28"/>
          <w:szCs w:val="28"/>
        </w:rPr>
        <w:outlineLvl w:val="2"/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jc w:val="center"/>
        <w:rPr>
          <w:b/>
          <w:bCs/>
          <w:sz w:val="28"/>
          <w:szCs w:val="28"/>
          <w:highlight w:val="none"/>
        </w:rPr>
        <w:outlineLvl w:val="2"/>
        <w:suppressLineNumbers w:val="0"/>
      </w:pPr>
      <w:r>
        <w:rPr>
          <w:b/>
          <w:bCs/>
          <w:sz w:val="28"/>
          <w:szCs w:val="28"/>
        </w:rPr>
        <w:t xml:space="preserve">Проведение профилактических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/>
        <w:jc w:val="center"/>
        <w:rPr>
          <w:b/>
          <w:bCs/>
          <w:sz w:val="28"/>
          <w:szCs w:val="28"/>
        </w:rPr>
        <w:outlineLvl w:val="2"/>
        <w:suppressLineNumbers w:val="0"/>
      </w:pPr>
      <w:r>
        <w:rPr>
          <w:b/>
          <w:bCs/>
          <w:sz w:val="28"/>
          <w:szCs w:val="28"/>
        </w:rPr>
        <w:t xml:space="preserve">мероприятий </w:t>
      </w:r>
      <w:r>
        <w:rPr>
          <w:b/>
          <w:bCs/>
          <w:sz w:val="28"/>
          <w:szCs w:val="28"/>
        </w:rPr>
        <w:t xml:space="preserve">Программы профилактики  направлено</w:t>
      </w:r>
      <w:r>
        <w:rPr>
          <w:b/>
          <w:bCs/>
          <w:sz w:val="28"/>
          <w:szCs w:val="28"/>
        </w:rPr>
        <w:t xml:space="preserve"> на решение следующих задач: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00"/>
        <w:contextualSpacing/>
        <w:ind w:firstLine="709"/>
        <w:jc w:val="both"/>
        <w:outlineLvl w:val="2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pStyle w:val="900"/>
        <w:contextualSpacing/>
        <w:ind w:firstLine="709"/>
        <w:jc w:val="both"/>
        <w:outlineLvl w:val="2"/>
      </w:pPr>
      <w:r>
        <w:rPr>
          <w:bCs/>
          <w:sz w:val="28"/>
          <w:szCs w:val="28"/>
        </w:rPr>
        <w:t xml:space="preserve">1. Выявление и устранение причин, факторов и условий, способствующих нарушениям обязательных требований законодательства.</w:t>
      </w:r>
      <w:r>
        <w:rPr>
          <w:bCs/>
          <w:sz w:val="28"/>
          <w:szCs w:val="28"/>
        </w:rPr>
      </w:r>
      <w:r/>
    </w:p>
    <w:p>
      <w:pPr>
        <w:pStyle w:val="900"/>
        <w:contextualSpacing/>
        <w:ind w:firstLine="709"/>
        <w:jc w:val="both"/>
        <w:outlineLvl w:val="2"/>
      </w:pPr>
      <w:r>
        <w:rPr>
          <w:bCs/>
          <w:sz w:val="28"/>
          <w:szCs w:val="28"/>
        </w:rPr>
        <w:t xml:space="preserve">2. Определение способов устранения или снижения рисков возникновения нарушений обязательных требований.</w:t>
      </w:r>
      <w:r>
        <w:rPr>
          <w:bCs/>
          <w:sz w:val="28"/>
          <w:szCs w:val="28"/>
        </w:rPr>
      </w:r>
      <w:r/>
    </w:p>
    <w:p>
      <w:pPr>
        <w:pStyle w:val="900"/>
        <w:contextualSpacing/>
        <w:ind w:firstLine="709"/>
        <w:jc w:val="both"/>
        <w:outlineLvl w:val="2"/>
      </w:pPr>
      <w:r>
        <w:rPr>
          <w:bCs/>
          <w:sz w:val="28"/>
          <w:szCs w:val="28"/>
        </w:rPr>
        <w:t xml:space="preserve">3. Принятие мер по предупреждению нарушений контролируемыми лицами обязательных требований законодательства.</w:t>
      </w:r>
      <w:r>
        <w:rPr>
          <w:bCs/>
          <w:sz w:val="28"/>
          <w:szCs w:val="28"/>
        </w:rPr>
      </w:r>
      <w:r/>
    </w:p>
    <w:p>
      <w:pPr>
        <w:pStyle w:val="900"/>
        <w:contextualSpacing/>
        <w:ind w:firstLine="709"/>
        <w:jc w:val="both"/>
        <w:outlineLvl w:val="2"/>
      </w:pPr>
      <w:r>
        <w:rPr>
          <w:bCs/>
          <w:sz w:val="28"/>
          <w:szCs w:val="28"/>
        </w:rPr>
        <w:t xml:space="preserve">4. Создание мотивации к добросовестному ведению хозяйственной деятельности контролируемыми лицами.</w:t>
      </w:r>
      <w:r>
        <w:rPr>
          <w:bCs/>
          <w:sz w:val="28"/>
          <w:szCs w:val="28"/>
        </w:rPr>
      </w:r>
      <w:r/>
    </w:p>
    <w:p>
      <w:pPr>
        <w:pStyle w:val="900"/>
        <w:contextualSpacing/>
        <w:ind w:firstLine="709"/>
        <w:jc w:val="both"/>
        <w:outlineLvl w:val="2"/>
      </w:pPr>
      <w:r>
        <w:rPr>
          <w:sz w:val="28"/>
          <w:szCs w:val="28"/>
        </w:rPr>
        <w:t xml:space="preserve">5. Укрепление системы профилактики нарушений рисков причинения вреда (ущерба) охраняемым законом ценностям.</w:t>
      </w:r>
      <w:r>
        <w:rPr>
          <w:sz w:val="28"/>
          <w:szCs w:val="28"/>
        </w:rPr>
      </w:r>
      <w:r/>
    </w:p>
    <w:p>
      <w:pPr>
        <w:pStyle w:val="900"/>
        <w:contextualSpacing/>
        <w:ind w:firstLine="709"/>
        <w:jc w:val="both"/>
        <w:rPr>
          <w:highlight w:val="white"/>
        </w:rPr>
        <w:outlineLvl w:val="2"/>
      </w:pPr>
      <w:r>
        <w:rPr>
          <w:iCs/>
          <w:sz w:val="28"/>
          <w:szCs w:val="28"/>
          <w:highlight w:val="white"/>
        </w:rPr>
        <w:t xml:space="preserve">6. Повышение уровня правовой грамотности контролируемых лиц в области соблюдения Правил благоустройства 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территории города Перми</w:t>
      </w:r>
      <w:r>
        <w:rPr>
          <w:iCs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Style w:val="900"/>
        <w:ind w:firstLine="709"/>
        <w:jc w:val="both"/>
        <w:rPr>
          <w:highlight w:val="white"/>
        </w:rPr>
        <w:outlineLvl w:val="2"/>
      </w:pPr>
      <w:r>
        <w:rPr>
          <w:sz w:val="28"/>
          <w:szCs w:val="28"/>
          <w:highlight w:val="white"/>
        </w:rPr>
        <w:t xml:space="preserve">7.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  <w:r>
        <w:rPr>
          <w:highlight w:val="white"/>
        </w:rPr>
      </w:r>
      <w:r>
        <w:rPr>
          <w:highlight w:val="white"/>
        </w:rPr>
      </w:r>
    </w:p>
    <w:p>
      <w:pPr>
        <w:pStyle w:val="900"/>
        <w:ind w:firstLine="709"/>
        <w:jc w:val="both"/>
        <w:spacing w:after="360"/>
        <w:rPr>
          <w:highlight w:val="white"/>
        </w:rPr>
        <w:outlineLvl w:val="2"/>
      </w:pPr>
      <w:r>
        <w:rPr>
          <w:sz w:val="28"/>
          <w:szCs w:val="28"/>
          <w:highlight w:val="white"/>
        </w:rPr>
        <w:t xml:space="preserve">8. Повышение открытости и прозрачности деятельности контрольного органа</w:t>
      </w:r>
      <w:r>
        <w:rPr>
          <w:sz w:val="28"/>
          <w:szCs w:val="28"/>
          <w:highlight w:val="white"/>
        </w:rPr>
        <w:t xml:space="preserve"> при осуществлении муниципального контроля в сфере благоустройства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jc w:val="center"/>
        <w:spacing w:before="0" w:after="0" w:line="283" w:lineRule="exact"/>
        <w:rPr>
          <w:b/>
          <w:bCs/>
          <w:sz w:val="28"/>
          <w:szCs w:val="28"/>
          <w:highlight w:val="white"/>
        </w:rPr>
        <w:outlineLvl w:val="1"/>
        <w:suppressLineNumbers w:val="0"/>
      </w:pPr>
      <w:r>
        <w:rPr>
          <w:b/>
          <w:bCs/>
          <w:sz w:val="28"/>
          <w:szCs w:val="28"/>
          <w:highlight w:val="white"/>
        </w:rPr>
        <w:t xml:space="preserve">Раздел 3. Индикаторы риска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contextualSpacing/>
        <w:jc w:val="center"/>
        <w:spacing w:before="0" w:after="0" w:line="283" w:lineRule="exact"/>
        <w:rPr>
          <w:highlight w:val="white"/>
        </w:rPr>
        <w:outlineLvl w:val="1"/>
        <w:suppressLineNumbers w:val="0"/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left="0" w:right="0" w:firstLine="709"/>
        <w:jc w:val="both"/>
        <w:spacing w:before="0" w:after="0" w:line="283" w:lineRule="exact"/>
        <w:rPr>
          <w:b w:val="0"/>
          <w:bCs w:val="0"/>
          <w:highlight w:val="white"/>
        </w:rPr>
        <w:outlineLvl w:val="1"/>
        <w:suppressLineNumbers w:val="0"/>
      </w:pPr>
      <w:r>
        <w:rPr>
          <w:b w:val="0"/>
          <w:bCs w:val="0"/>
          <w:sz w:val="28"/>
          <w:szCs w:val="28"/>
          <w:highlight w:val="white"/>
        </w:rPr>
        <w:t xml:space="preserve">В целях оценки риска причинения вреда (ущерба) охраняемым законом </w:t>
      </w:r>
      <w:r>
        <w:rPr>
          <w:b w:val="0"/>
          <w:bCs w:val="0"/>
          <w:sz w:val="28"/>
          <w:szCs w:val="28"/>
          <w:highlight w:val="white"/>
        </w:rPr>
        <w:t xml:space="preserve">ценностя</w:t>
      </w:r>
      <w:r>
        <w:rPr>
          <w:b w:val="0"/>
          <w:bCs w:val="0"/>
          <w:sz w:val="28"/>
          <w:szCs w:val="28"/>
          <w:highlight w:val="white"/>
        </w:rPr>
        <w:t xml:space="preserve">м устанавливаются следующие индикаторы риска нарушения обязательных требований, соответствие   которым  является  основанием                     для проведения внепланового контрольного мероприятия, предусматривающего взаимодействие с контролируемым лицом:</w:t>
      </w:r>
      <w:r>
        <w:rPr>
          <w:b w:val="0"/>
          <w:bCs w:val="0"/>
          <w:highlight w:val="white"/>
        </w:rPr>
      </w:r>
      <w:r>
        <w:rPr>
          <w:b w:val="0"/>
          <w:bCs w:val="0"/>
          <w:highlight w:val="white"/>
        </w:rPr>
      </w:r>
    </w:p>
    <w:p>
      <w:pPr>
        <w:pStyle w:val="740"/>
        <w:numPr>
          <w:ilvl w:val="0"/>
          <w:numId w:val="4"/>
        </w:numPr>
        <w:ind w:left="0" w:right="0" w:firstLine="709"/>
        <w:jc w:val="both"/>
        <w:spacing w:after="360"/>
        <w:rPr>
          <w:highlight w:val="white"/>
          <w14:ligatures w14:val="none"/>
        </w:rPr>
        <w:outlineLvl w:val="1"/>
        <w:suppressLineNumbers w:val="0"/>
      </w:pPr>
      <w:r>
        <w:rPr>
          <w:sz w:val="28"/>
          <w:szCs w:val="28"/>
          <w:highlight w:val="white"/>
        </w:rPr>
        <w:t xml:space="preserve">сокращение в течение одного предшествующего календарного года </w:t>
      </w:r>
      <w:r>
        <w:rPr>
          <w:sz w:val="28"/>
          <w:szCs w:val="28"/>
          <w:highlight w:val="white"/>
        </w:rPr>
        <w:t xml:space="preserve">более чем на 20 процен</w:t>
      </w:r>
      <w:r>
        <w:rPr>
          <w:sz w:val="28"/>
          <w:szCs w:val="28"/>
          <w:highlight w:val="white"/>
        </w:rPr>
        <w:t xml:space="preserve">тов количества древесных и кустарниковых насаждений       на территории объекта озеленения общего пользования по сравнению                                  с количеством древесных и кустарниковых насаждений, которые должны быть расположены на такой территор</w:t>
      </w:r>
      <w:r>
        <w:rPr>
          <w:sz w:val="28"/>
          <w:szCs w:val="28"/>
          <w:highlight w:val="white"/>
        </w:rPr>
        <w:t xml:space="preserve">ии согласно сведениям паспорта комплексного благоустройства объекта озеленения, при отсутствии выданного </w:t>
      </w:r>
      <w:r>
        <w:rPr>
          <w:sz w:val="28"/>
          <w:szCs w:val="28"/>
          <w:highlight w:val="white"/>
        </w:rPr>
        <w:t xml:space="preserve">в установленном порядке разрешения о сносе указанных насаждений;</w:t>
      </w:r>
      <w:r>
        <w:rPr>
          <w:highlight w:val="white"/>
          <w14:ligatures w14:val="none"/>
        </w:rPr>
      </w:r>
      <w:r>
        <w:rPr>
          <w:highlight w:val="white"/>
          <w14:ligatures w14:val="none"/>
        </w:rPr>
      </w:r>
    </w:p>
    <w:p>
      <w:pPr>
        <w:pStyle w:val="740"/>
        <w:numPr>
          <w:ilvl w:val="0"/>
          <w:numId w:val="4"/>
        </w:numPr>
        <w:ind w:left="0" w:right="0" w:firstLine="709"/>
        <w:jc w:val="both"/>
        <w:spacing w:after="360"/>
        <w:rPr>
          <w:sz w:val="28"/>
          <w:szCs w:val="28"/>
          <w:highlight w:val="white"/>
          <w14:ligatures w14:val="none"/>
        </w:rPr>
        <w:outlineLvl w:val="1"/>
        <w:suppressLineNumbers w:val="0"/>
      </w:pPr>
      <w:r>
        <w:rPr>
          <w:sz w:val="28"/>
          <w:szCs w:val="28"/>
          <w:highlight w:val="white"/>
        </w:rPr>
        <w:t xml:space="preserve">привлечение контролируемого лица к административной </w:t>
      </w:r>
      <w:r>
        <w:rPr>
          <w:sz w:val="28"/>
          <w:szCs w:val="28"/>
          <w:highlight w:val="white"/>
        </w:rPr>
        <w:t xml:space="preserve">ответственности за нарушение одного и того же обязательного требования бол</w:t>
      </w:r>
      <w:r>
        <w:rPr>
          <w:sz w:val="28"/>
          <w:szCs w:val="28"/>
          <w:highlight w:val="white"/>
        </w:rPr>
        <w:t xml:space="preserve">ее трех раз в течение предшествующего календарного года;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740"/>
        <w:numPr>
          <w:ilvl w:val="0"/>
          <w:numId w:val="4"/>
        </w:numPr>
        <w:ind w:left="0" w:right="0" w:firstLine="709"/>
        <w:jc w:val="both"/>
        <w:spacing w:after="360"/>
        <w:outlineLvl w:val="1"/>
        <w:suppressLineNumbers w:val="0"/>
      </w:pPr>
      <w:r>
        <w:rPr>
          <w:sz w:val="28"/>
          <w:szCs w:val="28"/>
          <w:highlight w:val="white"/>
        </w:rPr>
        <w:t xml:space="preserve">трехкратный и более рост количества обращений за единицу </w:t>
      </w:r>
      <w:r>
        <w:rPr>
          <w:sz w:val="28"/>
          <w:szCs w:val="28"/>
          <w:highlight w:val="white"/>
        </w:rPr>
        <w:t xml:space="preserve">времени (месяц, квартал) в сравнении с предшествующим аналогичным периодом и (или)     с аналогичным периодом предшествующего календарного года, поступивших                  в адрес Органа контроля от граждан (поступивших способом,позволяющим установить личность</w:t>
      </w:r>
      <w:r>
        <w:rPr>
          <w:sz w:val="28"/>
          <w:szCs w:val="28"/>
          <w:highlight w:val="white"/>
        </w:rPr>
        <w:t xml:space="preserve"> обратившегося гражданина) или организаций,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Интернет, госу</w:t>
      </w:r>
      <w:r>
        <w:rPr>
          <w:sz w:val="28"/>
          <w:szCs w:val="28"/>
          <w:highlight w:val="white"/>
        </w:rPr>
        <w:t xml:space="preserve">дарственных информационных систем о фактах нарушений контролируемыми лицами обязательных требований.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</w:rPr>
      </w:r>
    </w:p>
    <w:p>
      <w:pPr>
        <w:ind w:right="0"/>
        <w:jc w:val="center"/>
        <w:spacing w:after="0" w:afterAutospacing="0"/>
        <w:rPr>
          <w:b/>
          <w:bCs/>
          <w:sz w:val="28"/>
          <w:szCs w:val="28"/>
          <w:highlight w:val="none"/>
          <w14:ligatures w14:val="none"/>
        </w:rPr>
        <w:outlineLvl w:val="1"/>
        <w:suppressLineNumbers w:val="0"/>
      </w:pPr>
      <w:r>
        <w:rPr>
          <w:b/>
          <w:bCs/>
          <w:sz w:val="28"/>
          <w:szCs w:val="28"/>
          <w:highlight w:val="white"/>
        </w:rPr>
        <w:t xml:space="preserve">Раздел 4. </w:t>
      </w:r>
      <w:r>
        <w:rPr>
          <w:b/>
          <w:bCs/>
          <w:sz w:val="28"/>
          <w:szCs w:val="28"/>
          <w:highlight w:val="white"/>
        </w:rPr>
        <w:t xml:space="preserve">Управление риска</w:t>
      </w:r>
      <w:r>
        <w:rPr>
          <w:b/>
          <w:bCs/>
          <w:sz w:val="28"/>
          <w:szCs w:val="28"/>
          <w:highlight w:val="white"/>
        </w:rPr>
        <w:t xml:space="preserve">ми</w:t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ind w:right="0"/>
        <w:jc w:val="center"/>
        <w:spacing w:after="0" w:afterAutospacing="0"/>
        <w:rPr>
          <w:b/>
          <w:bCs/>
          <w:sz w:val="28"/>
          <w:szCs w:val="28"/>
          <w:highlight w:val="white"/>
          <w14:ligatures w14:val="none"/>
        </w:rPr>
        <w:outlineLvl w:val="1"/>
        <w:suppressLineNumbers w:val="0"/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  <w14:ligatures w14:val="none"/>
        </w:rPr>
      </w:r>
      <w:r>
        <w:rPr>
          <w:b/>
          <w:bCs/>
          <w:sz w:val="28"/>
          <w:szCs w:val="28"/>
          <w:highlight w:val="white"/>
          <w14:ligatures w14:val="none"/>
        </w:rPr>
      </w:r>
    </w:p>
    <w:p>
      <w:pPr>
        <w:pStyle w:val="740"/>
        <w:numPr>
          <w:ilvl w:val="0"/>
          <w:numId w:val="5"/>
        </w:numPr>
        <w:ind w:left="0" w:right="0" w:firstLine="709"/>
        <w:jc w:val="both"/>
        <w:spacing w:after="0" w:afterAutospacing="0"/>
        <w:rPr>
          <w:b w:val="0"/>
          <w:bCs w:val="0"/>
          <w:highlight w:val="white"/>
        </w:rPr>
        <w:outlineLvl w:val="1"/>
        <w:suppressLineNumbers w:val="0"/>
      </w:pPr>
      <w:r>
        <w:rPr>
          <w:b w:val="0"/>
          <w:bCs w:val="0"/>
          <w:sz w:val="28"/>
          <w:szCs w:val="28"/>
          <w:highlight w:val="white"/>
          <w14:ligatures w14:val="none"/>
        </w:rPr>
        <w:t xml:space="preserve">Орган контроля при осуществлении Муниципального контроля относит </w:t>
      </w:r>
      <w:r>
        <w:rPr>
          <w:b w:val="0"/>
          <w:bCs w:val="0"/>
          <w:sz w:val="28"/>
          <w:szCs w:val="28"/>
          <w:highlight w:val="white"/>
          <w14:ligatures w14:val="none"/>
        </w:rPr>
        <w:t xml:space="preserve">объекты Муниципального контроля к одной из следующих категорий риска причинения вреда (ущерба) (далее - категория риска): средний риск, умеренный риск, низкий риск.</w:t>
      </w:r>
      <w:r>
        <w:rPr>
          <w:b w:val="0"/>
          <w:bCs w:val="0"/>
          <w:highlight w:val="white"/>
        </w:rPr>
      </w:r>
      <w:r>
        <w:rPr>
          <w:b w:val="0"/>
          <w:bCs w:val="0"/>
          <w:highlight w:val="white"/>
        </w:rPr>
      </w:r>
    </w:p>
    <w:p>
      <w:pPr>
        <w:pStyle w:val="740"/>
        <w:numPr>
          <w:ilvl w:val="0"/>
          <w:numId w:val="5"/>
        </w:numPr>
        <w:ind w:left="0" w:right="0" w:firstLine="709"/>
        <w:jc w:val="both"/>
        <w:spacing w:after="0" w:afterAutospacing="0"/>
        <w:rPr>
          <w:highlight w:val="white"/>
        </w:rPr>
        <w:outlineLvl w:val="1"/>
        <w:suppressLineNumbers w:val="0"/>
      </w:pPr>
      <w:r>
        <w:rPr>
          <w:b w:val="0"/>
          <w:bCs w:val="0"/>
          <w:sz w:val="28"/>
          <w:szCs w:val="28"/>
          <w:highlight w:val="white"/>
          <w14:ligatures w14:val="none"/>
        </w:rPr>
        <w:t xml:space="preserve">Отнесение объекта Муниципального контроля к одной из</w:t>
      </w:r>
      <w:r>
        <w:rPr>
          <w:b w:val="0"/>
          <w:bCs w:val="0"/>
          <w:sz w:val="28"/>
          <w:szCs w:val="28"/>
          <w:highlight w:val="white"/>
          <w14:ligatures w14:val="none"/>
        </w:rPr>
        <w:t xml:space="preserve"> категорий риска осуществляется Органом контроля путем сопоставления его характеристик со следующими критериями отнесения объектов Муниципального контроля                        к ка</w:t>
      </w:r>
      <w:r>
        <w:rPr>
          <w:b w:val="0"/>
          <w:bCs w:val="0"/>
          <w:sz w:val="28"/>
          <w:szCs w:val="28"/>
          <w:highlight w:val="white"/>
          <w14:ligatures w14:val="none"/>
        </w:rPr>
        <w:t xml:space="preserve">тегориям риска: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spacing w:after="0" w:afterAutospacing="0"/>
        <w:rPr>
          <w:highlight w:val="white"/>
        </w:rPr>
        <w:outlineLvl w:val="1"/>
        <w:suppressLineNumbers w:val="0"/>
      </w:pPr>
      <w:r>
        <w:rPr>
          <w:b w:val="0"/>
          <w:bCs w:val="0"/>
          <w:sz w:val="28"/>
          <w:szCs w:val="28"/>
          <w:highlight w:val="white"/>
          <w14:ligatures w14:val="none"/>
        </w:rPr>
        <w:t xml:space="preserve">1) </w:t>
      </w:r>
      <w:r>
        <w:rPr>
          <w:b w:val="0"/>
          <w:bCs w:val="0"/>
          <w:sz w:val="28"/>
          <w:szCs w:val="28"/>
          <w:highlight w:val="white"/>
          <w14:ligatures w14:val="none"/>
        </w:rPr>
        <w:t xml:space="preserve">к категории среднего риска - деятельность контролируемого лица,                    </w:t>
      </w:r>
      <w:r>
        <w:rPr>
          <w:b w:val="0"/>
          <w:bCs w:val="0"/>
          <w:sz w:val="28"/>
          <w:szCs w:val="28"/>
          <w:highlight w:val="white"/>
          <w14:ligatures w14:val="none"/>
        </w:rPr>
        <w:t xml:space="preserve">при которой в течение года, предшествующего дате отнесения Органом контроля объекта Муниципального контроля к категории риска, имеется не исполненное              в срок предписание об устранении выявленных нарушений обязательных требований;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spacing w:after="0" w:afterAutospacing="0"/>
        <w:rPr>
          <w:b w:val="0"/>
          <w:bCs w:val="0"/>
          <w:sz w:val="28"/>
          <w:szCs w:val="28"/>
          <w:highlight w:val="white"/>
          <w14:ligatures w14:val="none"/>
        </w:rPr>
        <w:outlineLvl w:val="1"/>
        <w:suppressLineNumbers w:val="0"/>
      </w:pPr>
      <w:r>
        <w:rPr>
          <w:b w:val="0"/>
          <w:bCs w:val="0"/>
          <w:sz w:val="28"/>
          <w:szCs w:val="28"/>
          <w:highlight w:val="white"/>
        </w:rPr>
        <w:t xml:space="preserve">2) </w:t>
      </w:r>
      <w:r>
        <w:rPr>
          <w:b w:val="0"/>
          <w:bCs w:val="0"/>
          <w:sz w:val="28"/>
          <w:szCs w:val="28"/>
          <w:highlight w:val="white"/>
        </w:rPr>
        <w:t xml:space="preserve">к категории умеренного риска - деятельность контролируемого лица,                 при которой в течение года, предшествующего дате отнесения Органом контроля объекта Муниципального контроля к категории риска, имеется исполненное предписание об устранении в</w:t>
      </w:r>
      <w:r>
        <w:rPr>
          <w:b w:val="0"/>
          <w:bCs w:val="0"/>
          <w:sz w:val="28"/>
          <w:szCs w:val="28"/>
          <w:highlight w:val="white"/>
        </w:rPr>
        <w:t xml:space="preserve">ыявленных нарушений обязательных требований;</w:t>
      </w:r>
      <w:r>
        <w:rPr>
          <w:b w:val="0"/>
          <w:bCs w:val="0"/>
          <w:sz w:val="28"/>
          <w:szCs w:val="28"/>
          <w:highlight w:val="white"/>
          <w14:ligatures w14:val="none"/>
        </w:rPr>
      </w:r>
      <w:r>
        <w:rPr>
          <w:b w:val="0"/>
          <w:bCs w:val="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after="0" w:afterAutospacing="0"/>
        <w:rPr>
          <w:b w:val="0"/>
          <w:bCs w:val="0"/>
          <w:sz w:val="28"/>
          <w:szCs w:val="28"/>
          <w:highlight w:val="white"/>
          <w14:ligatures w14:val="none"/>
        </w:rPr>
        <w:outlineLvl w:val="1"/>
        <w:suppressLineNumbers w:val="0"/>
      </w:pPr>
      <w:r>
        <w:rPr>
          <w:b w:val="0"/>
          <w:bCs w:val="0"/>
          <w:sz w:val="28"/>
          <w:szCs w:val="28"/>
          <w:highlight w:val="white"/>
        </w:rPr>
        <w:t xml:space="preserve">3) </w:t>
      </w:r>
      <w:r>
        <w:rPr>
          <w:b w:val="0"/>
          <w:bCs w:val="0"/>
          <w:sz w:val="28"/>
          <w:szCs w:val="28"/>
          <w:highlight w:val="white"/>
        </w:rPr>
        <w:t xml:space="preserve">к категории низкого риска - отсутствие оснований, предусмотренных                     для категорий среднего и умеренного риска.</w:t>
      </w:r>
      <w:r>
        <w:rPr>
          <w:b w:val="0"/>
          <w:bCs w:val="0"/>
          <w:sz w:val="28"/>
          <w:szCs w:val="28"/>
          <w:highlight w:val="white"/>
          <w14:ligatures w14:val="none"/>
        </w:rPr>
      </w:r>
      <w:r>
        <w:rPr>
          <w:b w:val="0"/>
          <w:bCs w:val="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after="0" w:afterAutospacing="0"/>
        <w:rPr>
          <w:b w:val="0"/>
          <w:bCs w:val="0"/>
          <w:sz w:val="28"/>
          <w:szCs w:val="28"/>
          <w:highlight w:val="white"/>
          <w14:ligatures w14:val="none"/>
        </w:rPr>
        <w:outlineLvl w:val="1"/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  <w14:ligatures w14:val="none"/>
        </w:rPr>
      </w:r>
      <w:r>
        <w:rPr>
          <w:b w:val="0"/>
          <w:bCs w:val="0"/>
          <w:sz w:val="28"/>
          <w:szCs w:val="28"/>
          <w:highlight w:val="white"/>
          <w14:ligatures w14:val="none"/>
        </w:rPr>
      </w:r>
    </w:p>
    <w:p>
      <w:pPr>
        <w:pStyle w:val="900"/>
        <w:contextualSpacing/>
        <w:jc w:val="center"/>
        <w:spacing w:before="0" w:after="0" w:line="283" w:lineRule="exact"/>
        <w:rPr>
          <w:b/>
          <w:bCs/>
          <w:sz w:val="28"/>
          <w:szCs w:val="28"/>
          <w:highlight w:val="white"/>
        </w:rPr>
        <w:outlineLvl w:val="1"/>
        <w:suppressLineNumbers w:val="0"/>
      </w:pPr>
      <w:r>
        <w:rPr>
          <w:b/>
          <w:bCs/>
          <w:sz w:val="28"/>
          <w:szCs w:val="28"/>
          <w:highlight w:val="white"/>
        </w:rPr>
        <w:t xml:space="preserve">Разде</w:t>
      </w:r>
      <w:r>
        <w:rPr>
          <w:b/>
          <w:bCs/>
          <w:sz w:val="28"/>
          <w:szCs w:val="28"/>
          <w:highlight w:val="white"/>
        </w:rPr>
        <w:t xml:space="preserve">л 5.</w:t>
      </w:r>
      <w:r>
        <w:rPr>
          <w:b/>
          <w:bCs/>
          <w:sz w:val="28"/>
          <w:szCs w:val="28"/>
          <w:highlight w:val="white"/>
        </w:rPr>
        <w:t xml:space="preserve"> Перечень профилактических мероприятий, </w:t>
      </w:r>
      <w:r>
        <w:rPr>
          <w:b/>
          <w:bCs/>
          <w:sz w:val="28"/>
          <w:szCs w:val="28"/>
          <w:highlight w:val="white"/>
        </w:rPr>
        <w:br/>
      </w:r>
      <w:r>
        <w:rPr>
          <w:b/>
          <w:bCs/>
          <w:sz w:val="28"/>
          <w:szCs w:val="28"/>
          <w:highlight w:val="white"/>
        </w:rPr>
        <w:t xml:space="preserve">ср</w:t>
      </w:r>
      <w:r>
        <w:rPr>
          <w:b/>
          <w:bCs/>
          <w:sz w:val="28"/>
          <w:szCs w:val="28"/>
          <w:highlight w:val="white"/>
        </w:rPr>
        <w:t xml:space="preserve">оки (периодичность) их проведения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900"/>
        <w:contextualSpacing/>
        <w:ind w:firstLine="709"/>
        <w:jc w:val="both"/>
        <w:widowControl w:val="off"/>
        <w:rPr>
          <w:highlight w:val="white"/>
        </w:rPr>
      </w:pPr>
      <w:r>
        <w:rPr>
          <w:bCs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00"/>
        <w:contextualSpacing/>
        <w:ind w:firstLine="708"/>
        <w:jc w:val="both"/>
        <w:widowControl w:val="off"/>
        <w:rPr>
          <w:highlight w:val="white"/>
        </w:rPr>
        <w:outlineLvl w:val="1"/>
      </w:pPr>
      <w:r>
        <w:rPr>
          <w:rFonts w:eastAsia="Calibri"/>
          <w:sz w:val="28"/>
          <w:szCs w:val="28"/>
          <w:highlight w:val="white"/>
          <w:lang w:eastAsia="en-US"/>
        </w:rPr>
        <w:t xml:space="preserve">Мероприятия Программы профилактики представляют собой комплекс мер, направленных на достижение целей и решение основных задач настоящей Программы профилактики. </w:t>
      </w:r>
      <w:r>
        <w:rPr>
          <w:highlight w:val="white"/>
        </w:rPr>
      </w:r>
      <w:r>
        <w:rPr>
          <w:highlight w:val="white"/>
        </w:rPr>
      </w:r>
    </w:p>
    <w:p>
      <w:pPr>
        <w:pStyle w:val="900"/>
        <w:contextualSpacing/>
        <w:ind w:firstLine="708"/>
        <w:jc w:val="both"/>
        <w:rPr>
          <w:highlight w:val="white"/>
        </w:rPr>
        <w:outlineLvl w:val="1"/>
      </w:pPr>
      <w:r>
        <w:rPr>
          <w:rFonts w:eastAsia="Calibri"/>
          <w:sz w:val="28"/>
          <w:szCs w:val="28"/>
          <w:highlight w:val="white"/>
          <w:lang w:eastAsia="en-US"/>
        </w:rPr>
        <w:t xml:space="preserve">Администрация Кировского района города Перми в рамках осуществления муниципального контроля в сфере благоустройства проводит следующие профилактические мероприятия: </w:t>
      </w:r>
      <w:r>
        <w:rPr>
          <w:highlight w:val="white"/>
        </w:rPr>
      </w:r>
      <w:r>
        <w:rPr>
          <w:highlight w:val="white"/>
        </w:rPr>
      </w:r>
    </w:p>
    <w:p>
      <w:pPr>
        <w:pStyle w:val="900"/>
        <w:contextualSpacing/>
        <w:ind w:firstLine="708"/>
        <w:jc w:val="both"/>
        <w:rPr>
          <w:highlight w:val="white"/>
        </w:rPr>
        <w:outlineLvl w:val="1"/>
      </w:pPr>
      <w:r>
        <w:rPr>
          <w:rFonts w:eastAsia="Calibri"/>
          <w:sz w:val="28"/>
          <w:szCs w:val="28"/>
          <w:highlight w:val="white"/>
          <w:lang w:eastAsia="en-US"/>
        </w:rPr>
        <w:t xml:space="preserve">1) информирование; </w:t>
      </w:r>
      <w:r>
        <w:rPr>
          <w:highlight w:val="white"/>
        </w:rPr>
      </w:r>
      <w:r>
        <w:rPr>
          <w:highlight w:val="white"/>
        </w:rPr>
      </w:r>
    </w:p>
    <w:p>
      <w:pPr>
        <w:pStyle w:val="900"/>
        <w:contextualSpacing/>
        <w:ind w:firstLine="708"/>
        <w:jc w:val="both"/>
        <w:rPr>
          <w:highlight w:val="white"/>
        </w:rPr>
        <w:outlineLvl w:val="1"/>
      </w:pPr>
      <w:r>
        <w:rPr>
          <w:rFonts w:eastAsia="Calibri"/>
          <w:sz w:val="28"/>
          <w:szCs w:val="28"/>
          <w:highlight w:val="white"/>
          <w:lang w:eastAsia="en-US"/>
        </w:rPr>
        <w:t xml:space="preserve">2) консультирование; </w:t>
      </w:r>
      <w:r>
        <w:rPr>
          <w:highlight w:val="white"/>
        </w:rPr>
      </w:r>
      <w:r>
        <w:rPr>
          <w:highlight w:val="white"/>
        </w:rPr>
      </w:r>
    </w:p>
    <w:p>
      <w:pPr>
        <w:pStyle w:val="900"/>
        <w:ind w:firstLine="709"/>
        <w:jc w:val="both"/>
        <w:spacing w:after="0" w:afterAutospacing="0"/>
        <w:rPr>
          <w:rFonts w:eastAsia="Calibri"/>
          <w:sz w:val="28"/>
          <w:szCs w:val="28"/>
          <w:highlight w:val="white"/>
        </w:rPr>
        <w:outlineLvl w:val="1"/>
      </w:pPr>
      <w:r>
        <w:rPr>
          <w:rFonts w:eastAsia="Calibri"/>
          <w:sz w:val="28"/>
          <w:szCs w:val="28"/>
          <w:highlight w:val="white"/>
          <w:lang w:eastAsia="en-US"/>
        </w:rPr>
        <w:t xml:space="preserve">3)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объявление предостережения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/>
        <w:rPr>
          <w:rFonts w:eastAsia="Calibri"/>
          <w:sz w:val="28"/>
          <w:szCs w:val="28"/>
          <w:highlight w:val="white"/>
        </w:rPr>
        <w:outlineLvl w:val="1"/>
      </w:pPr>
      <w:r>
        <w:rPr>
          <w:rFonts w:eastAsia="Calibri"/>
          <w:sz w:val="28"/>
          <w:szCs w:val="28"/>
          <w:highlight w:val="white"/>
          <w:lang w:eastAsia="en-US"/>
        </w:rPr>
        <w:t xml:space="preserve">4) профилактический визит.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/>
        <w:rPr>
          <w:highlight w:val="white"/>
        </w:rPr>
        <w:outlineLvl w:val="1"/>
      </w:pPr>
      <w:r>
        <w:rPr>
          <w:rFonts w:eastAsia="Calibri"/>
          <w:sz w:val="28"/>
          <w:szCs w:val="28"/>
          <w:highlight w:val="white"/>
          <w:lang w:eastAsia="en-US"/>
        </w:rPr>
      </w:r>
      <w:r>
        <w:rPr>
          <w:highlight w:val="white"/>
        </w:rPr>
      </w:r>
      <w:r>
        <w:rPr>
          <w:highlight w:val="white"/>
        </w:rPr>
      </w:r>
    </w:p>
    <w:p>
      <w:pPr>
        <w:shd w:val="nil" w:color="auto"/>
        <w:rPr>
          <w:b/>
          <w:bCs/>
          <w:sz w:val="28"/>
          <w:szCs w:val="28"/>
          <w:highlight w:val="white"/>
        </w:rPr>
        <w:outlineLvl w:val="1"/>
        <w:suppressLineNumbers w:val="0"/>
      </w:pPr>
      <w:r>
        <w:rPr>
          <w:b/>
          <w:bCs/>
          <w:sz w:val="28"/>
          <w:szCs w:val="28"/>
          <w:highlight w:val="none"/>
        </w:rPr>
        <w:br w:type="page" w:clear="all"/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contextualSpacing/>
        <w:ind w:firstLine="708"/>
        <w:jc w:val="center"/>
        <w:rPr>
          <w:b/>
          <w:bCs/>
          <w:sz w:val="28"/>
          <w:szCs w:val="28"/>
          <w:highlight w:val="none"/>
        </w:rPr>
        <w:outlineLvl w:val="1"/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00"/>
        <w:contextualSpacing/>
        <w:ind w:firstLine="708"/>
        <w:jc w:val="center"/>
        <w:rPr>
          <w:b/>
          <w:bCs/>
          <w:sz w:val="28"/>
          <w:szCs w:val="28"/>
          <w:highlight w:val="none"/>
        </w:rPr>
        <w:outlineLvl w:val="1"/>
        <w:suppressLineNumbers w:val="0"/>
      </w:pPr>
      <w:r>
        <w:rPr>
          <w:b/>
          <w:bCs/>
          <w:sz w:val="28"/>
          <w:szCs w:val="28"/>
          <w:highlight w:val="white"/>
        </w:rPr>
        <w:t xml:space="preserve">Перечень мероприятий Программы профилактики на 202</w:t>
      </w:r>
      <w:r>
        <w:rPr>
          <w:b/>
          <w:bCs/>
          <w:sz w:val="28"/>
          <w:szCs w:val="28"/>
          <w:highlight w:val="white"/>
        </w:rPr>
        <w:t xml:space="preserve">5</w:t>
      </w:r>
      <w:r>
        <w:rPr>
          <w:b/>
          <w:bCs/>
          <w:sz w:val="28"/>
          <w:szCs w:val="28"/>
          <w:highlight w:val="white"/>
        </w:rPr>
        <w:t xml:space="preserve"> год, </w:t>
      </w:r>
      <w:r>
        <w:rPr>
          <w:b/>
          <w:bCs/>
          <w:sz w:val="28"/>
          <w:szCs w:val="28"/>
          <w:highlight w:val="white"/>
        </w:rPr>
        <w:br/>
      </w:r>
      <w:r>
        <w:rPr>
          <w:b/>
          <w:bCs/>
          <w:sz w:val="28"/>
          <w:szCs w:val="28"/>
          <w:highlight w:val="white"/>
        </w:rPr>
        <w:t xml:space="preserve">сроки их реализации и ответств</w:t>
      </w:r>
      <w:r>
        <w:rPr>
          <w:b/>
          <w:bCs/>
          <w:sz w:val="28"/>
          <w:szCs w:val="28"/>
          <w:highlight w:val="white"/>
        </w:rPr>
        <w:t xml:space="preserve">енные структурные подразделения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/>
        <w:ind w:firstLine="708"/>
        <w:jc w:val="center"/>
        <w:rPr>
          <w:highlight w:val="white"/>
        </w:rPr>
        <w:outlineLvl w:val="1"/>
        <w:suppressLineNumbers w:val="0"/>
      </w:pPr>
      <w:r>
        <w:rPr>
          <w:b/>
          <w:bCs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9923" w:type="dxa"/>
        <w:tblInd w:w="62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2768"/>
        <w:gridCol w:w="389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jc w:val="center"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№ п/п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jc w:val="center"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Наименование профилактического мероприятия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8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jc w:val="center"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Срок (периодичность) проведения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4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jc w:val="center"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Структурное подразделение, ответственное за реализацию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900"/>
        <w:rPr>
          <w:highlight w:val="white"/>
        </w:rPr>
      </w:pPr>
      <w:r>
        <w:rPr>
          <w:sz w:val="2"/>
          <w:szCs w:val="2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9923" w:type="dxa"/>
        <w:tblInd w:w="62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2768"/>
        <w:gridCol w:w="3894"/>
      </w:tblGrid>
      <w:tr>
        <w:tblPrEx/>
        <w:trPr>
          <w:trHeight w:val="14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jc w:val="center"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jc w:val="center"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8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jc w:val="center"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4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jc w:val="center"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1.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Информирование</w:t>
            </w:r>
            <w:r>
              <w:rPr>
                <w:iCs/>
                <w:sz w:val="24"/>
                <w:szCs w:val="24"/>
                <w:highlight w:val="white"/>
              </w:rPr>
              <w:t xml:space="preserve">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8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4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1.1.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а</w:t>
            </w:r>
            <w:r>
              <w:rPr>
                <w:iCs/>
                <w:sz w:val="24"/>
                <w:szCs w:val="24"/>
                <w:highlight w:val="white"/>
              </w:rPr>
              <w:t xml:space="preserve">ктуализация </w:t>
            </w:r>
            <w:r>
              <w:rPr>
                <w:iCs/>
                <w:sz w:val="24"/>
                <w:szCs w:val="24"/>
                <w:highlight w:val="white"/>
              </w:rPr>
              <w:t xml:space="preserve">сведений, предусмотренных частью 3 статьи 46 Федерального закона </w:t>
              <w:br/>
              <w:t xml:space="preserve">№ 248-ФЗ</w:t>
            </w:r>
            <w:r>
              <w:rPr>
                <w:iCs/>
                <w:sz w:val="24"/>
                <w:szCs w:val="24"/>
                <w:highlight w:val="white"/>
              </w:rPr>
              <w:t xml:space="preserve">, размещенных </w:t>
              <w:br/>
              <w:t xml:space="preserve">на официальном сайте контрольного органа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8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не позднее пяти рабочих дней после дня их изменения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4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sz w:val="24"/>
                <w:szCs w:val="24"/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отдел благоустройства,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contextualSpacing/>
              <w:rPr>
                <w:sz w:val="24"/>
                <w:szCs w:val="24"/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сектор градостроительства, земельных и имущественных отношений,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contextualSpacing/>
              <w:rPr>
                <w:sz w:val="24"/>
                <w:szCs w:val="24"/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отдел потребительского рынка</w:t>
            </w:r>
            <w:r>
              <w:rPr>
                <w:iCs/>
                <w:sz w:val="24"/>
                <w:szCs w:val="24"/>
                <w:highlight w:val="white"/>
              </w:rPr>
              <w:t xml:space="preserve"> администрации Кировского района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2.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sz w:val="24"/>
                <w:szCs w:val="24"/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Консультирование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 следующим вопросам: </w:t>
            </w:r>
            <w:r>
              <w:rPr>
                <w:iCs/>
                <w:sz w:val="24"/>
                <w:szCs w:val="24"/>
                <w:highlight w:val="white"/>
              </w:rPr>
              <w:t xml:space="preserve">организация </w:t>
            </w:r>
            <w:r>
              <w:rPr>
                <w:iCs/>
                <w:sz w:val="24"/>
                <w:szCs w:val="24"/>
                <w:highlight w:val="white"/>
              </w:rPr>
              <w:br/>
            </w:r>
            <w:r>
              <w:rPr>
                <w:iCs/>
                <w:sz w:val="24"/>
                <w:szCs w:val="24"/>
                <w:highlight w:val="white"/>
              </w:rPr>
              <w:t xml:space="preserve">и осуществление муниципального контроля в сфере благоустройства;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0"/>
              <w:contextualSpacing/>
              <w:rPr>
                <w:sz w:val="22"/>
                <w:szCs w:val="22"/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порядок осуществления профилактических, контрольных м</w:t>
            </w:r>
            <w:r>
              <w:rPr>
                <w:iCs/>
                <w:sz w:val="24"/>
                <w:szCs w:val="24"/>
                <w:highlight w:val="white"/>
              </w:rPr>
              <w:t xml:space="preserve">ероприятий: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8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4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2.1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по телефонам: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8(342)205-62-19, 8(342)205-62-20,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iCs/>
                <w:sz w:val="24"/>
                <w:szCs w:val="24"/>
                <w:highlight w:val="white"/>
              </w:rPr>
              <w:t xml:space="preserve">8(342)205-62-21,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iCs/>
                <w:sz w:val="24"/>
                <w:szCs w:val="24"/>
                <w:highlight w:val="white"/>
              </w:rPr>
              <w:t xml:space="preserve">8(342)205-62-04,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iCs/>
                <w:sz w:val="24"/>
                <w:szCs w:val="24"/>
                <w:highlight w:val="white"/>
              </w:rPr>
              <w:t xml:space="preserve">8(342)205-62-22,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iCs/>
                <w:sz w:val="24"/>
                <w:szCs w:val="24"/>
                <w:highlight w:val="white"/>
              </w:rPr>
              <w:t xml:space="preserve">8(342)205-62-24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8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при обращении контролируемых лиц;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время консультирования не должно превышать </w:t>
              <w:br/>
              <w:t xml:space="preserve">15 минут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4" w:type="dxa"/>
            <w:vAlign w:val="top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должностные лица, уполномоченные на осуществление муниципального контроля в сфере благоустройства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2.2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с использованием видео-конференц связи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(при наличии технической возможности)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8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при обращении контролируемых лиц;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время консультирования не должно превышать </w:t>
              <w:br/>
              <w:t xml:space="preserve">15 минут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4" w:type="dxa"/>
            <w:vAlign w:val="top"/>
            <w:textDirection w:val="lrTb"/>
            <w:noWrap w:val="false"/>
          </w:tcPr>
          <w:p>
            <w:pPr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должностные лица, уполномоченные на осуществление муниципального контроля в сфере благоустройства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contextualSpacing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2.3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на личном приеме</w:t>
            </w:r>
            <w:r>
              <w:rPr>
                <w:iCs/>
                <w:sz w:val="24"/>
                <w:szCs w:val="24"/>
                <w:highlight w:val="white"/>
              </w:rPr>
              <w:t xml:space="preserve"> </w:t>
              <w:br/>
              <w:t xml:space="preserve">по адресу: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614101, г. Пермь,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ул. Кировоградская, 33</w:t>
            </w:r>
            <w:r>
              <w:rPr>
                <w:iCs/>
                <w:sz w:val="24"/>
                <w:szCs w:val="24"/>
                <w:highlight w:val="white"/>
              </w:rPr>
              <w:t xml:space="preserve"> </w:t>
            </w:r>
            <w:r>
              <w:rPr>
                <w:iCs/>
                <w:sz w:val="24"/>
                <w:szCs w:val="24"/>
                <w:highlight w:val="white"/>
              </w:rPr>
              <w:br/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8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при обращении контролируемых лиц;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время консультирования не должно превышать </w:t>
              <w:br/>
              <w:t xml:space="preserve">15 минут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4" w:type="dxa"/>
            <w:vAlign w:val="top"/>
            <w:textDirection w:val="lrTb"/>
            <w:noWrap w:val="false"/>
          </w:tcPr>
          <w:p>
            <w:pPr>
              <w:contextualSpacing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iCs/>
                <w:sz w:val="24"/>
                <w:szCs w:val="24"/>
                <w:highlight w:val="white"/>
              </w:rPr>
              <w:t xml:space="preserve">должностные лица, уполномоченные на осуществление муниципального контроля в сфере благоустройства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contextualSpacing/>
              <w:rPr>
                <w:sz w:val="24"/>
                <w:szCs w:val="24"/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2.4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в ходе проведения профилактических мероприятий, контрольных мероприятий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8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при обращении контролируемых лиц;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время консультирования не должно превышать </w:t>
              <w:br/>
              <w:t xml:space="preserve">15 минут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4" w:type="dxa"/>
            <w:vAlign w:val="top"/>
            <w:textDirection w:val="lrTb"/>
            <w:noWrap w:val="false"/>
          </w:tcPr>
          <w:p>
            <w:pPr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должностные лица, уполномоченные на осуществление муниципального контроля в сфере благоустройства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2.5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в письменной форме</w:t>
            </w:r>
            <w:r>
              <w:rPr>
                <w:iCs/>
                <w:sz w:val="24"/>
                <w:szCs w:val="24"/>
                <w:highlight w:val="white"/>
              </w:rPr>
              <w:t xml:space="preserve"> </w:t>
              <w:br/>
              <w:t xml:space="preserve">в случаях: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представлен письменный запрос </w:t>
            </w:r>
            <w:r>
              <w:rPr>
                <w:iCs/>
                <w:sz w:val="24"/>
                <w:szCs w:val="24"/>
                <w:highlight w:val="white"/>
              </w:rPr>
              <w:br/>
            </w:r>
            <w:r>
              <w:rPr>
                <w:iCs/>
                <w:sz w:val="24"/>
                <w:szCs w:val="24"/>
                <w:highlight w:val="white"/>
              </w:rPr>
              <w:t xml:space="preserve">о представлении письменного отве</w:t>
            </w:r>
            <w:r>
              <w:rPr>
                <w:iCs/>
                <w:sz w:val="24"/>
                <w:szCs w:val="24"/>
                <w:highlight w:val="white"/>
              </w:rPr>
              <w:t xml:space="preserve">та </w:t>
              <w:br/>
              <w:t xml:space="preserve">по вопросам консультирования;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за время консультирования представить ответ </w:t>
            </w:r>
            <w:r>
              <w:rPr>
                <w:iCs/>
                <w:sz w:val="24"/>
                <w:szCs w:val="24"/>
                <w:highlight w:val="white"/>
              </w:rPr>
              <w:br/>
            </w:r>
            <w:r>
              <w:rPr>
                <w:iCs/>
                <w:sz w:val="24"/>
                <w:szCs w:val="24"/>
                <w:highlight w:val="white"/>
              </w:rPr>
              <w:t xml:space="preserve">на </w:t>
            </w:r>
            <w:r>
              <w:rPr>
                <w:iCs/>
                <w:sz w:val="24"/>
                <w:szCs w:val="24"/>
                <w:highlight w:val="white"/>
              </w:rPr>
              <w:t xml:space="preserve">поставленные вопросы невозможно;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ответ на поставленные вопросы требует дополнительного запроса сведений </w:t>
            </w:r>
            <w:r>
              <w:rPr>
                <w:iCs/>
                <w:sz w:val="24"/>
                <w:szCs w:val="24"/>
                <w:highlight w:val="white"/>
              </w:rPr>
              <w:br/>
            </w:r>
            <w:r>
              <w:rPr>
                <w:iCs/>
                <w:sz w:val="24"/>
                <w:szCs w:val="24"/>
                <w:highlight w:val="white"/>
              </w:rPr>
              <w:t xml:space="preserve">от органов власти или иных лиц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8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в указанных случаях </w:t>
              <w:br/>
              <w:t xml:space="preserve">в сроки</w:t>
            </w:r>
            <w:r>
              <w:rPr>
                <w:iCs/>
                <w:sz w:val="24"/>
                <w:szCs w:val="24"/>
                <w:highlight w:val="white"/>
              </w:rPr>
              <w:t xml:space="preserve">, установленные Федеральным законом </w:t>
            </w:r>
            <w:r>
              <w:rPr>
                <w:iCs/>
                <w:sz w:val="24"/>
                <w:szCs w:val="24"/>
                <w:highlight w:val="white"/>
              </w:rPr>
              <w:br/>
            </w:r>
            <w:r>
              <w:rPr>
                <w:iCs/>
                <w:sz w:val="24"/>
                <w:szCs w:val="24"/>
                <w:highlight w:val="white"/>
              </w:rPr>
              <w:t xml:space="preserve">от 02.05.2006 </w:t>
            </w:r>
            <w:r>
              <w:rPr>
                <w:iCs/>
                <w:sz w:val="24"/>
                <w:szCs w:val="24"/>
                <w:highlight w:val="white"/>
              </w:rPr>
              <w:t xml:space="preserve">№ 59-ФЗ «</w:t>
            </w:r>
            <w:r>
              <w:rPr>
                <w:iCs/>
                <w:sz w:val="24"/>
                <w:szCs w:val="24"/>
                <w:highlight w:val="white"/>
              </w:rPr>
              <w:t xml:space="preserve">О порядке рассмотрения обращен</w:t>
            </w:r>
            <w:r>
              <w:rPr>
                <w:iCs/>
                <w:sz w:val="24"/>
                <w:szCs w:val="24"/>
                <w:highlight w:val="white"/>
              </w:rPr>
              <w:t xml:space="preserve">ий граждан Российской Федерации»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4" w:type="dxa"/>
            <w:vAlign w:val="top"/>
            <w:textDirection w:val="lrTb"/>
            <w:noWrap w:val="false"/>
          </w:tcPr>
          <w:p>
            <w:pPr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должностные лица, уполномоченные на осуществление муниципального контроля в сфере благоустройства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3.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Объявление предостережения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8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в случае</w:t>
            </w:r>
            <w:r>
              <w:rPr>
                <w:iCs/>
                <w:sz w:val="24"/>
                <w:szCs w:val="24"/>
                <w:highlight w:val="white"/>
              </w:rPr>
              <w:t xml:space="preserve"> поступления сведений, предусмотренных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частью 1 статьи 49 Федерального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закона № 248-ФЗ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4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отдел благоустройства,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сектор градостроительства, земельных и имущественных отношений,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отдел потребительского рынка</w:t>
            </w:r>
            <w:r>
              <w:rPr>
                <w:iCs/>
                <w:sz w:val="24"/>
                <w:szCs w:val="24"/>
                <w:highlight w:val="white"/>
              </w:rPr>
              <w:t xml:space="preserve"> администрации Кировского района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900"/>
              <w:contextualSpacing/>
              <w:rPr>
                <w:iCs/>
                <w:sz w:val="24"/>
                <w:szCs w:val="24"/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4. </w:t>
            </w:r>
            <w:r>
              <w:rPr>
                <w:iCs/>
                <w:sz w:val="24"/>
                <w:szCs w:val="24"/>
                <w:highlight w:val="white"/>
              </w:rPr>
            </w:r>
            <w:r>
              <w:rPr>
                <w:iCs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pStyle w:val="900"/>
              <w:contextualSpacing/>
              <w:rPr>
                <w:iCs/>
                <w:sz w:val="24"/>
                <w:szCs w:val="24"/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Профилактический визит</w:t>
            </w:r>
            <w:r>
              <w:rPr>
                <w:iCs/>
                <w:sz w:val="24"/>
                <w:szCs w:val="24"/>
                <w:highlight w:val="white"/>
              </w:rPr>
            </w:r>
            <w:r>
              <w:rPr>
                <w:iCs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8" w:type="dxa"/>
            <w:vAlign w:val="top"/>
            <w:vMerge w:val="restart"/>
            <w:textDirection w:val="lrTb"/>
            <w:noWrap w:val="false"/>
          </w:tcPr>
          <w:p>
            <w:pPr>
              <w:pStyle w:val="900"/>
              <w:contextualSpacing/>
              <w:rPr>
                <w:iCs/>
                <w:sz w:val="24"/>
                <w:szCs w:val="24"/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</w:r>
            <w:r>
              <w:rPr>
                <w:iCs/>
                <w:sz w:val="24"/>
                <w:szCs w:val="24"/>
                <w:highlight w:val="white"/>
              </w:rPr>
              <w:t xml:space="preserve">В отношении объектов Муниципального контроля, отнесенных к категории среднего или умеренного риска. Периодичность проведения обязательных профилактических визитов определяется Правительством Российской Федерации.</w:t>
            </w:r>
            <w:r>
              <w:rPr>
                <w:iCs/>
                <w:sz w:val="24"/>
                <w:szCs w:val="24"/>
                <w:highlight w:val="white"/>
              </w:rPr>
            </w:r>
            <w:r>
              <w:rPr>
                <w:iCs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4" w:type="dxa"/>
            <w:vAlign w:val="top"/>
            <w:vMerge w:val="restart"/>
            <w:textDirection w:val="lrTb"/>
            <w:noWrap w:val="false"/>
          </w:tcPr>
          <w:p>
            <w:pPr>
              <w:pStyle w:val="900"/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отдел благоустройства,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contextualSpacing/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сектор градостроительства, земельных и имущественных отношений,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отдел потребительского рынка</w:t>
            </w:r>
            <w:r>
              <w:rPr>
                <w:iCs/>
                <w:sz w:val="24"/>
                <w:szCs w:val="24"/>
                <w:highlight w:val="white"/>
              </w:rPr>
              <w:t xml:space="preserve"> администрации Кировского района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900"/>
        <w:contextualSpacing/>
        <w:outlineLvl w:val="1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shd w:val="nil" w:color="auto"/>
        <w:rPr>
          <w:b/>
          <w:bCs/>
          <w:sz w:val="28"/>
          <w:szCs w:val="28"/>
          <w:highlight w:val="none"/>
        </w:rPr>
        <w:outlineLvl w:val="1"/>
        <w:suppressLineNumbers w:val="0"/>
      </w:pPr>
      <w:r>
        <w:rPr>
          <w:b/>
          <w:bCs/>
          <w:sz w:val="28"/>
          <w:szCs w:val="28"/>
          <w:highlight w:val="none"/>
        </w:rPr>
        <w:br w:type="page" w:clear="all"/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/>
        <w:jc w:val="center"/>
        <w:spacing w:before="0" w:after="0" w:afterAutospacing="0" w:line="240" w:lineRule="auto"/>
        <w:rPr>
          <w:b/>
          <w:bCs/>
          <w:sz w:val="28"/>
          <w:szCs w:val="28"/>
          <w:highlight w:val="none"/>
        </w:rPr>
        <w:outlineLvl w:val="1"/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00"/>
        <w:contextualSpacing/>
        <w:jc w:val="center"/>
        <w:spacing w:before="0" w:after="0" w:afterAutospacing="0" w:line="240" w:lineRule="auto"/>
        <w:rPr>
          <w:b/>
          <w:bCs/>
          <w:sz w:val="28"/>
          <w:szCs w:val="28"/>
          <w:highlight w:val="none"/>
        </w:rPr>
        <w:outlineLvl w:val="1"/>
        <w:suppressLineNumbers w:val="0"/>
      </w:pPr>
      <w:r>
        <w:rPr>
          <w:b/>
          <w:bCs/>
          <w:sz w:val="28"/>
          <w:szCs w:val="28"/>
        </w:rPr>
        <w:t xml:space="preserve">Раздел 6. Показатели результативности и эффективности                           </w:t>
      </w:r>
      <w:r>
        <w:rPr>
          <w:b/>
          <w:bCs/>
          <w:sz w:val="28"/>
          <w:szCs w:val="28"/>
        </w:rPr>
        <w:t xml:space="preserve">П</w:t>
      </w:r>
      <w:r>
        <w:rPr>
          <w:b/>
          <w:bCs/>
          <w:sz w:val="28"/>
          <w:szCs w:val="28"/>
        </w:rPr>
        <w:t xml:space="preserve">рограммы</w:t>
      </w:r>
      <w:r>
        <w:rPr>
          <w:b/>
          <w:bCs/>
          <w:sz w:val="28"/>
          <w:szCs w:val="28"/>
        </w:rPr>
        <w:t xml:space="preserve"> профилактики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/>
        <w:jc w:val="center"/>
        <w:spacing w:before="0" w:after="0" w:afterAutospacing="0" w:line="240" w:lineRule="auto"/>
        <w:rPr>
          <w:b/>
          <w:bCs/>
          <w:sz w:val="28"/>
          <w:szCs w:val="28"/>
          <w:highlight w:val="none"/>
        </w:rPr>
        <w:outlineLvl w:val="1"/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tbl>
      <w:tblPr>
        <w:tblW w:w="4969" w:type="pct"/>
        <w:tblInd w:w="62" w:type="dxa"/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589"/>
        <w:gridCol w:w="6000"/>
        <w:gridCol w:w="3388"/>
      </w:tblGrid>
      <w:tr>
        <w:tblPrEx/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" w:type="pct"/>
            <w:vAlign w:val="top"/>
            <w:textDirection w:val="lrTb"/>
            <w:noWrap w:val="false"/>
          </w:tcPr>
          <w:p>
            <w:pPr>
              <w:pStyle w:val="900"/>
              <w:contextualSpacing/>
              <w:jc w:val="center"/>
              <w:spacing w:before="0" w:line="283" w:lineRule="exact"/>
              <w:widowControl w:val="off"/>
              <w:suppressLineNumbers w:val="0"/>
            </w:pPr>
            <w:r>
              <w:rPr>
                <w:sz w:val="24"/>
                <w:szCs w:val="24"/>
              </w:rPr>
              <w:t xml:space="preserve">№ п/п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7" w:type="pct"/>
            <w:vAlign w:val="top"/>
            <w:textDirection w:val="lrTb"/>
            <w:noWrap w:val="false"/>
          </w:tcPr>
          <w:p>
            <w:pPr>
              <w:pStyle w:val="900"/>
              <w:contextualSpacing/>
              <w:jc w:val="center"/>
              <w:spacing w:before="0" w:line="283" w:lineRule="exact"/>
              <w:widowControl w:val="off"/>
              <w:suppressLineNumbers w:val="0"/>
            </w:pPr>
            <w:r>
              <w:rPr>
                <w:sz w:val="24"/>
                <w:szCs w:val="24"/>
              </w:rPr>
              <w:t xml:space="preserve">Наименование показателя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pct"/>
            <w:vAlign w:val="top"/>
            <w:textDirection w:val="lrTb"/>
            <w:noWrap w:val="false"/>
          </w:tcPr>
          <w:p>
            <w:pPr>
              <w:pStyle w:val="900"/>
              <w:contextualSpacing/>
              <w:jc w:val="center"/>
              <w:spacing w:before="0" w:line="283" w:lineRule="exact"/>
              <w:widowControl w:val="off"/>
              <w:suppressLineNumbers w:val="0"/>
            </w:pPr>
            <w:r>
              <w:rPr>
                <w:sz w:val="24"/>
                <w:szCs w:val="24"/>
              </w:rPr>
              <w:t xml:space="preserve">Величина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900"/>
        <w:rPr>
          <w:rFonts w:eastAsia="Calibri"/>
          <w:b/>
          <w:bCs/>
          <w:sz w:val="28"/>
          <w:szCs w:val="28"/>
        </w:rPr>
      </w:pPr>
      <w:r>
        <w:rPr>
          <w:sz w:val="2"/>
          <w:szCs w:val="2"/>
        </w:rPr>
      </w:r>
      <w:r>
        <w:rPr>
          <w:rFonts w:eastAsia="Calibri"/>
          <w:b/>
          <w:bCs/>
          <w:sz w:val="28"/>
          <w:szCs w:val="28"/>
        </w:rPr>
      </w:r>
      <w:r>
        <w:rPr>
          <w:rFonts w:eastAsia="Calibri"/>
          <w:b/>
          <w:bCs/>
          <w:sz w:val="28"/>
          <w:szCs w:val="28"/>
        </w:rPr>
      </w:r>
    </w:p>
    <w:tbl>
      <w:tblPr>
        <w:tblW w:w="4969" w:type="pct"/>
        <w:tblInd w:w="62" w:type="dxa"/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589"/>
        <w:gridCol w:w="6000"/>
        <w:gridCol w:w="3388"/>
      </w:tblGrid>
      <w:tr>
        <w:tblPrEx/>
        <w:trPr>
          <w:trHeight w:val="209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" w:type="pct"/>
            <w:vAlign w:val="top"/>
            <w:textDirection w:val="lrTb"/>
            <w:noWrap w:val="false"/>
          </w:tcPr>
          <w:p>
            <w:pPr>
              <w:pStyle w:val="900"/>
              <w:contextualSpacing/>
              <w:jc w:val="center"/>
              <w:widowControl w:val="off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7" w:type="pct"/>
            <w:vAlign w:val="top"/>
            <w:textDirection w:val="lrTb"/>
            <w:noWrap w:val="false"/>
          </w:tcPr>
          <w:p>
            <w:pPr>
              <w:pStyle w:val="900"/>
              <w:contextualSpacing/>
              <w:jc w:val="center"/>
              <w:widowControl w:val="off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pct"/>
            <w:vAlign w:val="top"/>
            <w:textDirection w:val="lrTb"/>
            <w:noWrap w:val="false"/>
          </w:tcPr>
          <w:p>
            <w:pPr>
              <w:pStyle w:val="900"/>
              <w:contextualSpacing/>
              <w:jc w:val="center"/>
              <w:widowControl w:val="off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" w:type="pct"/>
            <w:vAlign w:val="top"/>
            <w:textDirection w:val="lrTb"/>
            <w:noWrap w:val="false"/>
          </w:tcPr>
          <w:p>
            <w:pPr>
              <w:pStyle w:val="900"/>
              <w:contextualSpacing/>
              <w:jc w:val="center"/>
              <w:widowControl w:val="off"/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7" w:type="pct"/>
            <w:vAlign w:val="top"/>
            <w:textDirection w:val="lrTb"/>
            <w:noWrap w:val="false"/>
          </w:tcPr>
          <w:p>
            <w:pPr>
              <w:pStyle w:val="900"/>
              <w:contextualSpacing/>
              <w:widowControl w:val="off"/>
            </w:pPr>
            <w:r>
              <w:rPr>
                <w:sz w:val="24"/>
                <w:szCs w:val="24"/>
              </w:rPr>
              <w:t xml:space="preserve">Актуальность</w:t>
            </w:r>
            <w:r>
              <w:rPr>
                <w:sz w:val="24"/>
                <w:szCs w:val="24"/>
              </w:rPr>
              <w:t xml:space="preserve"> информации, размещенной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на официальном сайте контрольного органа </w:t>
              <w:br/>
              <w:t xml:space="preserve">в информационно-телекоммуникационной сети «Интернет» в соответствии с частью 3 статьи 46 Федерального закона № 248-ФЗ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pct"/>
            <w:vAlign w:val="top"/>
            <w:textDirection w:val="lrTb"/>
            <w:noWrap w:val="false"/>
          </w:tcPr>
          <w:p>
            <w:pPr>
              <w:pStyle w:val="900"/>
              <w:contextualSpacing/>
              <w:jc w:val="center"/>
              <w:widowControl w:val="off"/>
            </w:pPr>
            <w:r>
              <w:rPr>
                <w:sz w:val="24"/>
                <w:szCs w:val="24"/>
              </w:rPr>
              <w:t xml:space="preserve">100 %</w:t>
            </w:r>
            <w:r>
              <w:rPr>
                <w:sz w:val="24"/>
                <w:szCs w:val="24"/>
              </w:rPr>
            </w:r>
            <w:r/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" w:type="pct"/>
            <w:vAlign w:val="top"/>
            <w:textDirection w:val="lrTb"/>
            <w:noWrap w:val="false"/>
          </w:tcPr>
          <w:p>
            <w:pPr>
              <w:pStyle w:val="900"/>
              <w:contextualSpacing/>
              <w:widowControl w:val="off"/>
            </w:pPr>
            <w:r>
              <w:rPr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7" w:type="pct"/>
            <w:vAlign w:val="top"/>
            <w:textDirection w:val="lrTb"/>
            <w:noWrap w:val="false"/>
          </w:tcPr>
          <w:p>
            <w:pPr>
              <w:pStyle w:val="900"/>
              <w:contextualSpacing/>
              <w:widowControl w:val="off"/>
            </w:pPr>
            <w:r>
              <w:rPr>
                <w:sz w:val="24"/>
                <w:szCs w:val="24"/>
              </w:rPr>
              <w:t xml:space="preserve">Доля контролируемых лиц, получивших консультирование, от общего количества обратившихся за консультированием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pct"/>
            <w:vAlign w:val="top"/>
            <w:textDirection w:val="lrTb"/>
            <w:noWrap w:val="false"/>
          </w:tcPr>
          <w:p>
            <w:pPr>
              <w:pStyle w:val="900"/>
              <w:contextualSpacing/>
              <w:jc w:val="center"/>
              <w:widowControl w:val="off"/>
            </w:pPr>
            <w:r>
              <w:rPr>
                <w:sz w:val="24"/>
                <w:szCs w:val="24"/>
              </w:rPr>
              <w:t xml:space="preserve">100 %, </w:t>
              <w:br/>
              <w:t xml:space="preserve">от числа обратившихся</w:t>
            </w:r>
            <w:r>
              <w:rPr>
                <w:sz w:val="24"/>
                <w:szCs w:val="24"/>
              </w:rPr>
            </w:r>
            <w:r/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" w:type="pct"/>
            <w:vAlign w:val="top"/>
            <w:textDirection w:val="lrTb"/>
            <w:noWrap w:val="false"/>
          </w:tcPr>
          <w:p>
            <w:pPr>
              <w:pStyle w:val="900"/>
              <w:contextualSpacing/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7" w:type="pct"/>
            <w:vAlign w:val="top"/>
            <w:textDirection w:val="lrTb"/>
            <w:noWrap w:val="false"/>
          </w:tcPr>
          <w:p>
            <w:pPr>
              <w:pStyle w:val="900"/>
              <w:contextualSpacing/>
            </w:pPr>
            <w:r>
              <w:rPr>
                <w:sz w:val="24"/>
                <w:szCs w:val="24"/>
              </w:rPr>
              <w:t xml:space="preserve">Объявленные предостережения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pct"/>
            <w:vAlign w:val="top"/>
            <w:textDirection w:val="lrTb"/>
            <w:noWrap w:val="false"/>
          </w:tcPr>
          <w:p>
            <w:pPr>
              <w:pStyle w:val="900"/>
              <w:contextualSpacing/>
              <w:jc w:val="center"/>
            </w:pPr>
            <w:r>
              <w:rPr>
                <w:sz w:val="24"/>
                <w:szCs w:val="24"/>
              </w:rPr>
              <w:t xml:space="preserve">100%, при подтверждении </w:t>
            </w:r>
            <w:r>
              <w:rPr>
                <w:iCs/>
                <w:sz w:val="24"/>
                <w:szCs w:val="24"/>
              </w:rPr>
              <w:t xml:space="preserve">сведений о готовящихся </w:t>
            </w:r>
            <w:r>
              <w:rPr>
                <w:iCs/>
                <w:sz w:val="24"/>
                <w:szCs w:val="24"/>
              </w:rPr>
              <w:br/>
            </w:r>
            <w:r>
              <w:rPr>
                <w:iCs/>
                <w:sz w:val="24"/>
                <w:szCs w:val="24"/>
              </w:rPr>
              <w:t xml:space="preserve">или возможных нарушениях обязательных требований</w:t>
            </w:r>
            <w:r>
              <w:rPr>
                <w:rStyle w:val="920"/>
                <w:iCs/>
                <w:sz w:val="24"/>
                <w:szCs w:val="24"/>
              </w:rPr>
              <w:footnoteReference w:id="2"/>
            </w:r>
            <w:r>
              <w:rPr>
                <w:sz w:val="24"/>
                <w:szCs w:val="24"/>
              </w:rPr>
            </w:r>
            <w:r/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" w:type="pct"/>
            <w:vAlign w:val="top"/>
            <w:vMerge w:val="restart"/>
            <w:textDirection w:val="lrTb"/>
            <w:noWrap w:val="false"/>
          </w:tcPr>
          <w:p>
            <w:pPr>
              <w:pStyle w:val="9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7" w:type="pct"/>
            <w:vAlign w:val="top"/>
            <w:vMerge w:val="restart"/>
            <w:textDirection w:val="lrTb"/>
            <w:noWrap w:val="false"/>
          </w:tcPr>
          <w:p>
            <w:pPr>
              <w:pStyle w:val="900"/>
              <w:contextualSpacing/>
              <w:rPr>
                <w:iCs/>
                <w:sz w:val="24"/>
                <w:szCs w:val="24"/>
                <w:highlight w:val="white"/>
              </w:rPr>
            </w:pPr>
            <w:r>
              <w:rPr>
                <w:iCs/>
                <w:sz w:val="24"/>
                <w:szCs w:val="24"/>
                <w:highlight w:val="white"/>
              </w:rPr>
              <w:t xml:space="preserve">Профилактический визит</w:t>
            </w:r>
            <w:r>
              <w:rPr>
                <w:iCs/>
                <w:sz w:val="24"/>
                <w:szCs w:val="24"/>
                <w:highlight w:val="white"/>
              </w:rPr>
            </w:r>
            <w:r>
              <w:rPr>
                <w:iCs/>
                <w:sz w:val="24"/>
                <w:szCs w:val="24"/>
                <w:highlight w:val="white"/>
              </w:rPr>
            </w:r>
          </w:p>
          <w:p>
            <w:pPr>
              <w:pStyle w:val="900"/>
              <w:contextualSpacing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pct"/>
            <w:vAlign w:val="top"/>
            <w:vMerge w:val="restart"/>
            <w:textDirection w:val="lrTb"/>
            <w:noWrap w:val="false"/>
          </w:tcPr>
          <w:p>
            <w:pPr>
              <w:pStyle w:val="90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100%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contextualSpacing/>
        <w:ind w:firstLine="709"/>
        <w:jc w:val="both"/>
        <w:spacing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  <w:suppressLineNumbers w:val="0"/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0"/>
        <w:jc w:val="left"/>
        <w:spacing w:after="0" w:line="240" w:lineRule="auto"/>
        <w:outlineLvl w:val="1"/>
      </w:pPr>
      <w:r/>
      <w:r/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20405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ind w:right="360"/>
      <w:rPr>
        <w:sz w:val="16"/>
        <w:u w:val="single"/>
      </w:rPr>
    </w:pPr>
    <w:r>
      <w:rPr>
        <w:sz w:val="16"/>
        <w:u w:val="single"/>
      </w:rPr>
    </w:r>
    <w:r>
      <w:rPr>
        <w:sz w:val="16"/>
        <w:u w:val="single"/>
      </w:rPr>
    </w:r>
    <w:r>
      <w:rPr>
        <w:sz w:val="16"/>
        <w:u w:val="singl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1"/>
      </w:pPr>
      <w:r>
        <w:rPr>
          <w:rStyle w:val="920"/>
        </w:rPr>
        <w:footnoteRef/>
      </w:r>
      <w:r>
        <w:t xml:space="preserve"> При наличии технической возможности объявления предостережений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rPr>
        <w:rStyle w:val="910"/>
      </w:rPr>
      <w:framePr w:wrap="around" w:vAnchor="text" w:hAnchor="margin" w:xAlign="center" w:y="1"/>
    </w:pPr>
    <w:r>
      <w:rPr>
        <w:rStyle w:val="910"/>
      </w:rPr>
    </w:r>
    <w:r>
      <w:rPr>
        <w:rStyle w:val="910"/>
      </w:rPr>
    </w:r>
    <w:r>
      <w:rPr>
        <w:rStyle w:val="910"/>
      </w:rPr>
    </w:r>
  </w:p>
  <w:p>
    <w:pPr>
      <w:pStyle w:val="91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rPr>
        <w:rStyle w:val="910"/>
      </w:rPr>
      <w:framePr w:wrap="around" w:vAnchor="text" w:hAnchor="margin" w:xAlign="center" w:y="1"/>
    </w:pPr>
    <w:r>
      <w:rPr>
        <w:rStyle w:val="910"/>
      </w:rPr>
      <w:fldChar w:fldCharType="begin"/>
    </w:r>
    <w:r>
      <w:rPr>
        <w:rStyle w:val="910"/>
      </w:rPr>
      <w:instrText xml:space="preserve">PAGE  </w:instrText>
    </w:r>
    <w:r>
      <w:rPr>
        <w:rStyle w:val="910"/>
      </w:rPr>
      <w:fldChar w:fldCharType="end"/>
    </w:r>
    <w:r>
      <w:rPr>
        <w:rStyle w:val="910"/>
      </w:rPr>
    </w:r>
    <w:r>
      <w:rPr>
        <w:rStyle w:val="910"/>
      </w:rPr>
    </w:r>
  </w:p>
  <w:p>
    <w:pPr>
      <w:pStyle w:val="91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070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2">
    <w:name w:val="Heading 1"/>
    <w:basedOn w:val="900"/>
    <w:next w:val="900"/>
    <w:link w:val="72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3">
    <w:name w:val="Heading 1 Char"/>
    <w:link w:val="722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900"/>
    <w:next w:val="900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900"/>
    <w:next w:val="900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900"/>
    <w:next w:val="900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900"/>
    <w:next w:val="900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900"/>
    <w:next w:val="900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900"/>
    <w:next w:val="900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900"/>
    <w:next w:val="900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900"/>
    <w:next w:val="900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List Paragraph"/>
    <w:basedOn w:val="900"/>
    <w:uiPriority w:val="34"/>
    <w:qFormat/>
    <w:pPr>
      <w:contextualSpacing/>
      <w:ind w:left="720"/>
    </w:pPr>
  </w:style>
  <w:style w:type="paragraph" w:styleId="741">
    <w:name w:val="No Spacing"/>
    <w:uiPriority w:val="1"/>
    <w:qFormat/>
    <w:pPr>
      <w:spacing w:before="0" w:after="0" w:line="240" w:lineRule="auto"/>
    </w:pPr>
  </w:style>
  <w:style w:type="paragraph" w:styleId="742">
    <w:name w:val="Title"/>
    <w:basedOn w:val="900"/>
    <w:next w:val="900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3">
    <w:name w:val="Title Char"/>
    <w:link w:val="742"/>
    <w:uiPriority w:val="10"/>
    <w:rPr>
      <w:sz w:val="48"/>
      <w:szCs w:val="48"/>
    </w:rPr>
  </w:style>
  <w:style w:type="paragraph" w:styleId="744">
    <w:name w:val="Subtitle"/>
    <w:basedOn w:val="900"/>
    <w:next w:val="900"/>
    <w:link w:val="745"/>
    <w:uiPriority w:val="11"/>
    <w:qFormat/>
    <w:pPr>
      <w:spacing w:before="200" w:after="200"/>
    </w:pPr>
    <w:rPr>
      <w:sz w:val="24"/>
      <w:szCs w:val="24"/>
    </w:rPr>
  </w:style>
  <w:style w:type="character" w:styleId="745">
    <w:name w:val="Subtitle Char"/>
    <w:link w:val="744"/>
    <w:uiPriority w:val="11"/>
    <w:rPr>
      <w:sz w:val="24"/>
      <w:szCs w:val="24"/>
    </w:rPr>
  </w:style>
  <w:style w:type="paragraph" w:styleId="746">
    <w:name w:val="Quote"/>
    <w:basedOn w:val="900"/>
    <w:next w:val="900"/>
    <w:link w:val="747"/>
    <w:uiPriority w:val="29"/>
    <w:qFormat/>
    <w:pPr>
      <w:ind w:left="720" w:right="720"/>
    </w:pPr>
    <w:rPr>
      <w:i/>
    </w:rPr>
  </w:style>
  <w:style w:type="character" w:styleId="747">
    <w:name w:val="Quote Char"/>
    <w:link w:val="746"/>
    <w:uiPriority w:val="29"/>
    <w:rPr>
      <w:i/>
    </w:rPr>
  </w:style>
  <w:style w:type="paragraph" w:styleId="748">
    <w:name w:val="Intense Quote"/>
    <w:basedOn w:val="900"/>
    <w:next w:val="900"/>
    <w:link w:val="74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>
    <w:name w:val="Intense Quote Char"/>
    <w:link w:val="748"/>
    <w:uiPriority w:val="30"/>
    <w:rPr>
      <w:i/>
    </w:rPr>
  </w:style>
  <w:style w:type="paragraph" w:styleId="750">
    <w:name w:val="Header"/>
    <w:basedOn w:val="900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1">
    <w:name w:val="Header Char"/>
    <w:link w:val="750"/>
    <w:uiPriority w:val="99"/>
  </w:style>
  <w:style w:type="paragraph" w:styleId="752">
    <w:name w:val="Footer"/>
    <w:basedOn w:val="900"/>
    <w:link w:val="7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>
    <w:name w:val="Footer Char"/>
    <w:link w:val="752"/>
    <w:uiPriority w:val="99"/>
  </w:style>
  <w:style w:type="paragraph" w:styleId="754">
    <w:name w:val="Caption"/>
    <w:basedOn w:val="900"/>
    <w:next w:val="900"/>
    <w:link w:val="7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5">
    <w:name w:val="Caption Char"/>
    <w:basedOn w:val="754"/>
    <w:link w:val="752"/>
    <w:uiPriority w:val="99"/>
  </w:style>
  <w:style w:type="table" w:styleId="75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2">
    <w:name w:val="Hyperlink"/>
    <w:uiPriority w:val="99"/>
    <w:unhideWhenUsed/>
    <w:rPr>
      <w:color w:val="0000ff" w:themeColor="hyperlink"/>
      <w:u w:val="single"/>
    </w:rPr>
  </w:style>
  <w:style w:type="paragraph" w:styleId="883">
    <w:name w:val="footnote text"/>
    <w:basedOn w:val="900"/>
    <w:link w:val="884"/>
    <w:uiPriority w:val="99"/>
    <w:semiHidden/>
    <w:unhideWhenUsed/>
    <w:pPr>
      <w:spacing w:after="40" w:line="240" w:lineRule="auto"/>
    </w:pPr>
    <w:rPr>
      <w:sz w:val="18"/>
    </w:rPr>
  </w:style>
  <w:style w:type="character" w:styleId="884">
    <w:name w:val="Footnote Text Char"/>
    <w:link w:val="883"/>
    <w:uiPriority w:val="99"/>
    <w:rPr>
      <w:sz w:val="18"/>
    </w:rPr>
  </w:style>
  <w:style w:type="character" w:styleId="885">
    <w:name w:val="footnote reference"/>
    <w:uiPriority w:val="99"/>
    <w:unhideWhenUsed/>
    <w:rPr>
      <w:vertAlign w:val="superscript"/>
    </w:rPr>
  </w:style>
  <w:style w:type="paragraph" w:styleId="886">
    <w:name w:val="endnote text"/>
    <w:basedOn w:val="900"/>
    <w:link w:val="887"/>
    <w:uiPriority w:val="99"/>
    <w:semiHidden/>
    <w:unhideWhenUsed/>
    <w:pPr>
      <w:spacing w:after="0" w:line="240" w:lineRule="auto"/>
    </w:pPr>
    <w:rPr>
      <w:sz w:val="20"/>
    </w:rPr>
  </w:style>
  <w:style w:type="character" w:styleId="887">
    <w:name w:val="Endnote Text Char"/>
    <w:link w:val="886"/>
    <w:uiPriority w:val="99"/>
    <w:rPr>
      <w:sz w:val="20"/>
    </w:rPr>
  </w:style>
  <w:style w:type="character" w:styleId="888">
    <w:name w:val="endnote reference"/>
    <w:uiPriority w:val="99"/>
    <w:semiHidden/>
    <w:unhideWhenUsed/>
    <w:rPr>
      <w:vertAlign w:val="superscript"/>
    </w:rPr>
  </w:style>
  <w:style w:type="paragraph" w:styleId="889">
    <w:name w:val="toc 1"/>
    <w:basedOn w:val="900"/>
    <w:next w:val="900"/>
    <w:uiPriority w:val="39"/>
    <w:unhideWhenUsed/>
    <w:pPr>
      <w:ind w:left="0" w:right="0" w:firstLine="0"/>
      <w:spacing w:after="57"/>
    </w:pPr>
  </w:style>
  <w:style w:type="paragraph" w:styleId="890">
    <w:name w:val="toc 2"/>
    <w:basedOn w:val="900"/>
    <w:next w:val="900"/>
    <w:uiPriority w:val="39"/>
    <w:unhideWhenUsed/>
    <w:pPr>
      <w:ind w:left="283" w:right="0" w:firstLine="0"/>
      <w:spacing w:after="57"/>
    </w:pPr>
  </w:style>
  <w:style w:type="paragraph" w:styleId="891">
    <w:name w:val="toc 3"/>
    <w:basedOn w:val="900"/>
    <w:next w:val="900"/>
    <w:uiPriority w:val="39"/>
    <w:unhideWhenUsed/>
    <w:pPr>
      <w:ind w:left="567" w:right="0" w:firstLine="0"/>
      <w:spacing w:after="57"/>
    </w:pPr>
  </w:style>
  <w:style w:type="paragraph" w:styleId="892">
    <w:name w:val="toc 4"/>
    <w:basedOn w:val="900"/>
    <w:next w:val="900"/>
    <w:uiPriority w:val="39"/>
    <w:unhideWhenUsed/>
    <w:pPr>
      <w:ind w:left="850" w:right="0" w:firstLine="0"/>
      <w:spacing w:after="57"/>
    </w:pPr>
  </w:style>
  <w:style w:type="paragraph" w:styleId="893">
    <w:name w:val="toc 5"/>
    <w:basedOn w:val="900"/>
    <w:next w:val="900"/>
    <w:uiPriority w:val="39"/>
    <w:unhideWhenUsed/>
    <w:pPr>
      <w:ind w:left="1134" w:right="0" w:firstLine="0"/>
      <w:spacing w:after="57"/>
    </w:pPr>
  </w:style>
  <w:style w:type="paragraph" w:styleId="894">
    <w:name w:val="toc 6"/>
    <w:basedOn w:val="900"/>
    <w:next w:val="900"/>
    <w:uiPriority w:val="39"/>
    <w:unhideWhenUsed/>
    <w:pPr>
      <w:ind w:left="1417" w:right="0" w:firstLine="0"/>
      <w:spacing w:after="57"/>
    </w:pPr>
  </w:style>
  <w:style w:type="paragraph" w:styleId="895">
    <w:name w:val="toc 7"/>
    <w:basedOn w:val="900"/>
    <w:next w:val="900"/>
    <w:uiPriority w:val="39"/>
    <w:unhideWhenUsed/>
    <w:pPr>
      <w:ind w:left="1701" w:right="0" w:firstLine="0"/>
      <w:spacing w:after="57"/>
    </w:pPr>
  </w:style>
  <w:style w:type="paragraph" w:styleId="896">
    <w:name w:val="toc 8"/>
    <w:basedOn w:val="900"/>
    <w:next w:val="900"/>
    <w:uiPriority w:val="39"/>
    <w:unhideWhenUsed/>
    <w:pPr>
      <w:ind w:left="1984" w:right="0" w:firstLine="0"/>
      <w:spacing w:after="57"/>
    </w:pPr>
  </w:style>
  <w:style w:type="paragraph" w:styleId="897">
    <w:name w:val="toc 9"/>
    <w:basedOn w:val="900"/>
    <w:next w:val="900"/>
    <w:uiPriority w:val="39"/>
    <w:unhideWhenUsed/>
    <w:pPr>
      <w:ind w:left="2268" w:right="0" w:firstLine="0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900"/>
    <w:next w:val="900"/>
    <w:uiPriority w:val="99"/>
    <w:unhideWhenUsed/>
    <w:pPr>
      <w:spacing w:after="0" w:afterAutospacing="0"/>
    </w:pPr>
  </w:style>
  <w:style w:type="paragraph" w:styleId="900" w:default="1">
    <w:name w:val="Normal"/>
    <w:next w:val="900"/>
    <w:link w:val="900"/>
    <w:qFormat/>
    <w:rPr>
      <w:lang w:val="ru-RU" w:eastAsia="ru-RU" w:bidi="ar-SA"/>
    </w:rPr>
  </w:style>
  <w:style w:type="paragraph" w:styleId="901">
    <w:name w:val="Заголовок 1"/>
    <w:basedOn w:val="900"/>
    <w:next w:val="900"/>
    <w:link w:val="900"/>
    <w:qFormat/>
    <w:pPr>
      <w:ind w:right="-1" w:firstLine="709"/>
      <w:jc w:val="both"/>
      <w:keepNext/>
      <w:outlineLvl w:val="0"/>
    </w:pPr>
    <w:rPr>
      <w:sz w:val="24"/>
    </w:rPr>
  </w:style>
  <w:style w:type="paragraph" w:styleId="902">
    <w:name w:val="Заголовок 2"/>
    <w:basedOn w:val="900"/>
    <w:next w:val="900"/>
    <w:link w:val="915"/>
    <w:qFormat/>
    <w:pPr>
      <w:ind w:right="-1"/>
      <w:jc w:val="both"/>
      <w:keepNext/>
      <w:outlineLvl w:val="1"/>
    </w:pPr>
    <w:rPr>
      <w:sz w:val="24"/>
    </w:rPr>
  </w:style>
  <w:style w:type="character" w:styleId="903">
    <w:name w:val="Основной шрифт абзаца"/>
    <w:next w:val="903"/>
    <w:link w:val="900"/>
    <w:semiHidden/>
  </w:style>
  <w:style w:type="table" w:styleId="904">
    <w:name w:val="Обычная таблица"/>
    <w:next w:val="904"/>
    <w:link w:val="900"/>
    <w:semiHidden/>
    <w:tblPr/>
  </w:style>
  <w:style w:type="numbering" w:styleId="905">
    <w:name w:val="Нет списка"/>
    <w:next w:val="905"/>
    <w:link w:val="900"/>
    <w:semiHidden/>
  </w:style>
  <w:style w:type="paragraph" w:styleId="906">
    <w:name w:val="Название объекта"/>
    <w:basedOn w:val="900"/>
    <w:next w:val="900"/>
    <w:link w:val="90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7">
    <w:name w:val="Основной текст"/>
    <w:basedOn w:val="900"/>
    <w:next w:val="907"/>
    <w:link w:val="914"/>
    <w:pPr>
      <w:ind w:right="3117"/>
    </w:pPr>
    <w:rPr>
      <w:rFonts w:ascii="Courier New" w:hAnsi="Courier New"/>
      <w:sz w:val="26"/>
    </w:rPr>
  </w:style>
  <w:style w:type="paragraph" w:styleId="908">
    <w:name w:val="Основной текст с отступом"/>
    <w:basedOn w:val="900"/>
    <w:next w:val="908"/>
    <w:link w:val="900"/>
    <w:pPr>
      <w:ind w:right="-1"/>
      <w:jc w:val="both"/>
    </w:pPr>
    <w:rPr>
      <w:sz w:val="26"/>
    </w:rPr>
  </w:style>
  <w:style w:type="paragraph" w:styleId="909">
    <w:name w:val="Нижний колонтитул"/>
    <w:basedOn w:val="900"/>
    <w:next w:val="909"/>
    <w:link w:val="900"/>
    <w:pPr>
      <w:tabs>
        <w:tab w:val="center" w:pos="4153" w:leader="none"/>
        <w:tab w:val="right" w:pos="8306" w:leader="none"/>
      </w:tabs>
    </w:pPr>
  </w:style>
  <w:style w:type="character" w:styleId="910">
    <w:name w:val="Номер страницы"/>
    <w:basedOn w:val="903"/>
    <w:next w:val="910"/>
    <w:link w:val="900"/>
  </w:style>
  <w:style w:type="paragraph" w:styleId="911">
    <w:name w:val="Верхний колонтитул"/>
    <w:basedOn w:val="900"/>
    <w:next w:val="911"/>
    <w:link w:val="900"/>
    <w:pPr>
      <w:tabs>
        <w:tab w:val="center" w:pos="4153" w:leader="none"/>
        <w:tab w:val="right" w:pos="8306" w:leader="none"/>
      </w:tabs>
    </w:pPr>
  </w:style>
  <w:style w:type="paragraph" w:styleId="912">
    <w:name w:val="Текст выноски"/>
    <w:basedOn w:val="900"/>
    <w:next w:val="912"/>
    <w:link w:val="913"/>
    <w:rPr>
      <w:rFonts w:ascii="Segoe UI" w:hAnsi="Segoe UI" w:cs="Segoe UI"/>
      <w:sz w:val="18"/>
      <w:szCs w:val="18"/>
    </w:rPr>
  </w:style>
  <w:style w:type="character" w:styleId="913">
    <w:name w:val="Текст выноски Знак"/>
    <w:next w:val="913"/>
    <w:link w:val="912"/>
    <w:rPr>
      <w:rFonts w:ascii="Segoe UI" w:hAnsi="Segoe UI" w:cs="Segoe UI"/>
      <w:sz w:val="18"/>
      <w:szCs w:val="18"/>
    </w:rPr>
  </w:style>
  <w:style w:type="character" w:styleId="914">
    <w:name w:val="Основной текст Знак"/>
    <w:next w:val="914"/>
    <w:link w:val="907"/>
    <w:rPr>
      <w:rFonts w:ascii="Courier New" w:hAnsi="Courier New"/>
      <w:sz w:val="26"/>
    </w:rPr>
  </w:style>
  <w:style w:type="character" w:styleId="915">
    <w:name w:val="Заголовок 2 Знак"/>
    <w:next w:val="915"/>
    <w:link w:val="902"/>
    <w:rPr>
      <w:sz w:val="24"/>
    </w:rPr>
  </w:style>
  <w:style w:type="character" w:styleId="916" w:default="1">
    <w:name w:val="Default Paragraph Font"/>
    <w:uiPriority w:val="1"/>
    <w:semiHidden/>
    <w:unhideWhenUsed/>
  </w:style>
  <w:style w:type="numbering" w:styleId="917" w:default="1">
    <w:name w:val="No List"/>
    <w:uiPriority w:val="99"/>
    <w:semiHidden/>
    <w:unhideWhenUsed/>
  </w:style>
  <w:style w:type="table" w:styleId="918" w:default="1">
    <w:name w:val="Normal Table"/>
    <w:uiPriority w:val="99"/>
    <w:semiHidden/>
    <w:unhideWhenUsed/>
    <w:tblPr/>
  </w:style>
  <w:style w:type="paragraph" w:styleId="919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920" w:customStyle="1">
    <w:name w:val="Знак сноски"/>
    <w:rPr>
      <w:vertAlign w:val="superscript"/>
    </w:rPr>
  </w:style>
  <w:style w:type="paragraph" w:styleId="921" w:customStyle="1">
    <w:name w:val="Текст сноски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burtovoy-af</cp:lastModifiedBy>
  <cp:revision>37</cp:revision>
  <dcterms:created xsi:type="dcterms:W3CDTF">2018-05-15T10:44:00Z</dcterms:created>
  <dcterms:modified xsi:type="dcterms:W3CDTF">2025-08-04T06:16:07Z</dcterms:modified>
  <cp:version>917504</cp:version>
</cp:coreProperties>
</file>