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  <w:br/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7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31-07-1-3исх-360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дополнения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градостроительных регламентов</w:t>
      </w:r>
      <w:r>
        <w:rPr>
          <w:sz w:val="28"/>
          <w:szCs w:val="28"/>
        </w:rPr>
        <w:t xml:space="preserve"> территориальных зон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</w:rPr>
        <w:t xml:space="preserve">обслуживания и деловой активности городского центра (Ц-1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</w:rPr>
        <w:t xml:space="preserve">делового, коммерческого обслуживания (Ц-1</w:t>
      </w:r>
      <w:r>
        <w:rPr>
          <w:sz w:val="28"/>
          <w:szCs w:val="28"/>
        </w:rPr>
        <w:t xml:space="preserve">/1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</w:rPr>
        <w:t xml:space="preserve">обслуживания и деловой активности местного значения</w:t>
      </w:r>
      <w:r>
        <w:rPr>
          <w:sz w:val="28"/>
          <w:szCs w:val="28"/>
        </w:rPr>
        <w:t xml:space="preserve"> (Ц-2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</w:rPr>
        <w:t xml:space="preserve">деловой, обслуживающей и производственной активности при транспортных узлах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(Ц-3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), </w:t>
      </w:r>
      <w:r>
        <w:rPr>
          <w:sz w:val="28"/>
          <w:szCs w:val="28"/>
        </w:rPr>
        <w:t xml:space="preserve">центра обслуж</w:t>
      </w:r>
      <w:r>
        <w:rPr>
          <w:sz w:val="28"/>
          <w:szCs w:val="28"/>
        </w:rPr>
        <w:t xml:space="preserve">ивания рекреационных территорий (Ц-4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</w:rPr>
        <w:t xml:space="preserve">оптовой торговли, открытых рынков</w:t>
      </w:r>
      <w:r>
        <w:rPr>
          <w:sz w:val="28"/>
          <w:szCs w:val="28"/>
        </w:rPr>
        <w:t xml:space="preserve"> (Ц-5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</w:rPr>
        <w:t xml:space="preserve">обслуживания промышленности, торговли, складирования и</w:t>
      </w:r>
      <w:r>
        <w:rPr>
          <w:sz w:val="28"/>
          <w:szCs w:val="28"/>
        </w:rPr>
        <w:t xml:space="preserve"> мелкого производства</w:t>
      </w:r>
      <w:r>
        <w:rPr>
          <w:sz w:val="28"/>
          <w:szCs w:val="28"/>
        </w:rPr>
        <w:t xml:space="preserve"> (Ц-6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</w:rPr>
        <w:t xml:space="preserve">смешанной </w:t>
      </w:r>
      <w:r>
        <w:rPr>
          <w:sz w:val="28"/>
          <w:szCs w:val="28"/>
        </w:rPr>
        <w:t xml:space="preserve">и общественно-деловой застройки</w:t>
      </w:r>
      <w:r>
        <w:rPr>
          <w:sz w:val="28"/>
          <w:szCs w:val="28"/>
        </w:rPr>
        <w:t xml:space="preserve"> (Ц-СМ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установленных статьей 52.1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и застройки города Перми, утвержденных решением Пермской городской Думы </w:t>
        <w:br/>
        <w:t xml:space="preserve">от 26 июня 2007 г. № 143</w:t>
      </w:r>
      <w:r>
        <w:rPr>
          <w:sz w:val="28"/>
          <w:szCs w:val="28"/>
          <w:highlight w:val="none"/>
        </w:rPr>
        <w:t xml:space="preserve">,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дополнения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градостроительных регламентов</w:t>
      </w:r>
      <w:r>
        <w:rPr>
          <w:sz w:val="28"/>
          <w:szCs w:val="28"/>
        </w:rPr>
        <w:t xml:space="preserve"> территориальных зон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учреждений здравоохранения (ЦС-1)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высших, средних специальных учебных заведений и научных комплексов (ЦС-2)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 xml:space="preserve">и спортивно-зрелищных сооружений (ЦС-3)</w:t>
      </w:r>
      <w:r>
        <w:rPr>
          <w:sz w:val="28"/>
          <w:szCs w:val="28"/>
          <w:highlight w:val="none"/>
        </w:rPr>
        <w:t xml:space="preserve">, р</w:t>
      </w:r>
      <w:r>
        <w:rPr>
          <w:sz w:val="28"/>
          <w:szCs w:val="28"/>
        </w:rPr>
        <w:t xml:space="preserve">елигиозных объектов (ЦС-4)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аквапарков (ЦС-А)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общественных пространств и объектов культурного развития (ЦС-К)</w:t>
      </w:r>
      <w:r>
        <w:rPr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установленных статьей 52.2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none"/>
        </w:rPr>
        <w:t xml:space="preserve">,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дополнения градостроительных регламентов территориальных зон</w:t>
      </w:r>
      <w:r>
        <w:rPr>
          <w:sz w:val="28"/>
          <w:szCs w:val="28"/>
        </w:rPr>
        <w:t xml:space="preserve"> многоэтажной и </w:t>
      </w:r>
      <w:r>
        <w:rPr>
          <w:sz w:val="28"/>
          <w:szCs w:val="28"/>
        </w:rPr>
        <w:t xml:space="preserve">среднеэтажной</w:t>
      </w:r>
      <w:r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(Ж-1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среднеэтажной</w:t>
      </w:r>
      <w:r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(Ж-2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жилой застройки</w:t>
      </w:r>
      <w:r>
        <w:rPr>
          <w:sz w:val="28"/>
          <w:szCs w:val="28"/>
        </w:rPr>
        <w:t xml:space="preserve"> (Ж-3)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 xml:space="preserve">жилой застройки городского типа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(Ж-4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индивидуальной усадебной жилой застройки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(Ж-5)</w:t>
      </w:r>
      <w:r>
        <w:rPr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установленных статьей 52.3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none"/>
        </w:rPr>
        <w:t xml:space="preserve">,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дополнения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градостроительных регламентов</w:t>
      </w:r>
      <w:r>
        <w:rPr>
          <w:sz w:val="28"/>
          <w:szCs w:val="28"/>
        </w:rPr>
        <w:t xml:space="preserve"> территориальных зон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режимных объектов ограниченного доступа (С</w:t>
      </w:r>
      <w:r>
        <w:rPr>
          <w:sz w:val="28"/>
          <w:szCs w:val="28"/>
        </w:rPr>
        <w:t xml:space="preserve">-2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транспортных сооружений (С</w:t>
      </w:r>
      <w:r>
        <w:rPr>
          <w:sz w:val="28"/>
          <w:szCs w:val="28"/>
        </w:rPr>
        <w:t xml:space="preserve">-3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кладбищ </w:t>
      </w:r>
      <w:r>
        <w:rPr>
          <w:sz w:val="28"/>
          <w:szCs w:val="28"/>
        </w:rPr>
        <w:t xml:space="preserve">и мемориальных парков (С</w:t>
      </w:r>
      <w:r>
        <w:rPr>
          <w:sz w:val="28"/>
          <w:szCs w:val="28"/>
        </w:rPr>
        <w:t xml:space="preserve">-4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установленных статьей 52.4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none"/>
        </w:rPr>
        <w:t xml:space="preserve">,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дополнения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градостроительных регламентов</w:t>
      </w:r>
      <w:r>
        <w:rPr>
          <w:sz w:val="28"/>
          <w:szCs w:val="28"/>
        </w:rPr>
        <w:t xml:space="preserve"> территориальных зон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производственно-коммунальных объектов I класса вредности</w:t>
      </w:r>
      <w:r>
        <w:rPr>
          <w:sz w:val="28"/>
          <w:szCs w:val="28"/>
        </w:rPr>
        <w:t xml:space="preserve"> (ПК</w:t>
      </w:r>
      <w:r>
        <w:rPr>
          <w:sz w:val="28"/>
          <w:szCs w:val="28"/>
        </w:rPr>
        <w:t xml:space="preserve">-1</w:t>
      </w:r>
      <w:r>
        <w:rPr>
          <w:sz w:val="28"/>
          <w:szCs w:val="28"/>
          <w:highlight w:val="none"/>
        </w:rPr>
        <w:t xml:space="preserve">), </w:t>
      </w:r>
      <w:r>
        <w:rPr>
          <w:sz w:val="28"/>
          <w:szCs w:val="28"/>
        </w:rPr>
        <w:t xml:space="preserve">производственно-коммунальных объектов II класса вредности</w:t>
      </w:r>
      <w:r>
        <w:rPr>
          <w:sz w:val="28"/>
          <w:szCs w:val="28"/>
        </w:rPr>
        <w:t xml:space="preserve"> (ПК</w:t>
      </w:r>
      <w:r>
        <w:rPr>
          <w:sz w:val="28"/>
          <w:szCs w:val="28"/>
        </w:rPr>
        <w:t xml:space="preserve">-2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производственно-коммунальных объектов III класса вредности (ПК</w:t>
      </w:r>
      <w:r>
        <w:rPr>
          <w:sz w:val="28"/>
          <w:szCs w:val="28"/>
        </w:rPr>
        <w:t xml:space="preserve">-3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производственно-коммунальных объектов IV класса вредности (ПК</w:t>
      </w:r>
      <w:r>
        <w:rPr>
          <w:sz w:val="28"/>
          <w:szCs w:val="28"/>
        </w:rPr>
        <w:t xml:space="preserve">-4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производственно-коммунальных объектов V класса вредности (ПК</w:t>
      </w:r>
      <w:r>
        <w:rPr>
          <w:sz w:val="28"/>
          <w:szCs w:val="28"/>
        </w:rPr>
        <w:t xml:space="preserve">-5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установленных статьей 52.5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и застройки города Перми, утвержденных решением Пермской городской Думы </w:t>
        <w:br/>
        <w:t xml:space="preserve">от 26 июня 2007 г. № 143</w:t>
      </w:r>
      <w:r>
        <w:rPr>
          <w:sz w:val="28"/>
          <w:szCs w:val="28"/>
          <w:highlight w:val="none"/>
        </w:rPr>
        <w:t xml:space="preserve">,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дополнения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градостроительных регламентов</w:t>
      </w:r>
      <w:r>
        <w:rPr>
          <w:sz w:val="28"/>
          <w:szCs w:val="28"/>
        </w:rPr>
        <w:t xml:space="preserve"> территориальных зон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парков</w:t>
      </w:r>
      <w:r>
        <w:rPr>
          <w:sz w:val="28"/>
          <w:szCs w:val="28"/>
        </w:rPr>
        <w:t xml:space="preserve"> (Р</w:t>
      </w:r>
      <w:r>
        <w:rPr>
          <w:sz w:val="28"/>
          <w:szCs w:val="28"/>
        </w:rPr>
        <w:t xml:space="preserve">-1)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рекреационно-ландшафтных территорий (Р</w:t>
      </w:r>
      <w:r>
        <w:rPr>
          <w:sz w:val="28"/>
          <w:szCs w:val="28"/>
        </w:rPr>
        <w:t xml:space="preserve">-2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садовых </w:t>
      </w:r>
      <w:r>
        <w:rPr>
          <w:sz w:val="28"/>
          <w:szCs w:val="28"/>
        </w:rPr>
        <w:t xml:space="preserve">и дачных участков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</w:t>
      </w:r>
      <w:r>
        <w:rPr>
          <w:sz w:val="28"/>
          <w:szCs w:val="28"/>
        </w:rPr>
        <w:t xml:space="preserve">-3)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специальных зеленых насаждений (Р</w:t>
      </w:r>
      <w:r>
        <w:rPr>
          <w:sz w:val="28"/>
          <w:szCs w:val="28"/>
        </w:rPr>
        <w:t xml:space="preserve">-4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биопарков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</w:t>
      </w:r>
      <w:r>
        <w:rPr>
          <w:sz w:val="28"/>
          <w:szCs w:val="28"/>
        </w:rPr>
        <w:t xml:space="preserve">-5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установленных статьей 52.6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none"/>
        </w:rPr>
        <w:t xml:space="preserve">,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градостроительного регламента территориальной зоны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сельскохозяйственного использования</w:t>
      </w:r>
      <w:r>
        <w:rPr>
          <w:sz w:val="28"/>
          <w:szCs w:val="28"/>
        </w:rPr>
        <w:t xml:space="preserve"> (СХ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установленного статьей 52.7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none"/>
        </w:rPr>
        <w:t xml:space="preserve"> абзацем следующего содержания: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«Строительство (реконструкция) объекта капитального строительства </w:t>
      </w:r>
      <w:r>
        <w:rPr>
          <w:sz w:val="28"/>
          <w:szCs w:val="28"/>
        </w:rPr>
        <w:t xml:space="preserve">на земельном участке, вид разрешенного использования которого выбран </w:t>
      </w:r>
      <w:r>
        <w:rPr>
          <w:sz w:val="28"/>
          <w:szCs w:val="28"/>
        </w:rPr>
        <w:t xml:space="preserve">и установлен собственником, пользователем, владельцем, арендатором земельного участка или объекта капитального строительства на основании разрешения на условно разрешенный вид использования, осуществляется </w:t>
      </w:r>
      <w:r>
        <w:rPr>
          <w:sz w:val="28"/>
          <w:szCs w:val="28"/>
        </w:rPr>
        <w:t xml:space="preserve">в соответствии с эскизным проектом строительства, реконструкции объекта капитального строительства, </w:t>
      </w:r>
      <w:r>
        <w:rPr>
          <w:sz w:val="28"/>
          <w:szCs w:val="28"/>
        </w:rPr>
        <w:t xml:space="preserve">представленны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указанными лицами </w:t>
      </w:r>
      <w:r>
        <w:rPr>
          <w:sz w:val="28"/>
          <w:szCs w:val="28"/>
        </w:rPr>
        <w:t xml:space="preserve">с заявлением о предоставлении разрешения на условно разрешенный вид использования земельного участка или объекта капитального строительства.»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градостроительного регламента территориальной зоны малоэтажной многоквартирной жилой застройки, индивидуального жилищного строительства и блокированной жилой застройки</w:t>
      </w:r>
      <w:r>
        <w:rPr>
          <w:sz w:val="28"/>
          <w:szCs w:val="28"/>
          <w:highlight w:val="white"/>
        </w:rPr>
        <w:t xml:space="preserve"> (Ж-3)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установленного статьей 52.3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none"/>
        </w:rPr>
        <w:t xml:space="preserve">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Условно разрешенный вид использования </w:t>
      </w:r>
      <w:r>
        <w:rPr>
          <w:sz w:val="28"/>
          <w:szCs w:val="28"/>
        </w:rPr>
        <w:t xml:space="preserve">«магазины (не более </w:t>
      </w:r>
      <w:r>
        <w:rPr>
          <w:sz w:val="28"/>
          <w:szCs w:val="28"/>
        </w:rPr>
        <w:t xml:space="preserve">400 кв. м)» </w:t>
      </w:r>
      <w:r>
        <w:rPr>
          <w:sz w:val="28"/>
          <w:szCs w:val="28"/>
        </w:rPr>
        <w:t xml:space="preserve">подлежит применению в случае обоснования целесообразности размещения магазина в зависимости от радиуса обслуживания населения предприятиями торговли местного значения в городах, установленного </w:t>
      </w:r>
      <w:r>
        <w:rPr>
          <w:sz w:val="28"/>
          <w:szCs w:val="28"/>
        </w:rPr>
        <w:t xml:space="preserve">в соответствии с пунктом 10.4 СП 42.13330.2016 «Градостроительство. Планировка и застройка городских и сельских поселений. Актуализированная редакция СНиП 2.07.01-89*.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1.9.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градостроительных регламентов территориальных зон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индивидуальной </w:t>
      </w:r>
      <w:r>
        <w:rPr>
          <w:sz w:val="28"/>
          <w:szCs w:val="28"/>
          <w:highlight w:val="white"/>
        </w:rPr>
        <w:t xml:space="preserve">жилой застройки городского типа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(Ж-4</w:t>
      </w:r>
      <w:r>
        <w:rPr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индивидуальной усадебной жилой застройки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(Ж-5)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установленных статьей 52.3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Правил землепользования </w:t>
        <w:br/>
        <w:t xml:space="preserve">и застройки города Перми, утвержденных решением Пермской городской Думы </w:t>
        <w:br/>
        <w:t xml:space="preserve">от 26 июня 2007 г.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none"/>
        </w:rPr>
        <w:t xml:space="preserve"> абзацем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Условно разрешенный вид использования </w:t>
      </w:r>
      <w:r>
        <w:rPr>
          <w:sz w:val="28"/>
          <w:szCs w:val="28"/>
        </w:rPr>
        <w:t xml:space="preserve">«магазины (4.4</w:t>
      </w:r>
      <w:r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подлежит применению в случае обоснования целесообразности размещения магазина в зависимости от радиуса обслуживания населения предприятиями торговли местного значения в городах, установленного </w:t>
      </w:r>
      <w:r>
        <w:rPr>
          <w:sz w:val="28"/>
          <w:szCs w:val="28"/>
        </w:rPr>
        <w:t xml:space="preserve">в соответствии с пунктом 10.4 СП 42.13330.2016 «Градостроительство. Планировка и застройка городских и сельских поселений. Актуализированная редакция СНиП 2.07.01-89*.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1.10.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градостроительного регламента территориальной зоны </w:t>
      </w:r>
      <w:r>
        <w:rPr>
          <w:sz w:val="28"/>
          <w:szCs w:val="28"/>
          <w:highlight w:val="white"/>
        </w:rPr>
        <w:t xml:space="preserve">садовых </w:t>
      </w:r>
      <w:r>
        <w:rPr>
          <w:sz w:val="28"/>
          <w:szCs w:val="28"/>
          <w:highlight w:val="white"/>
        </w:rPr>
        <w:t xml:space="preserve">и дачных участков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(Р</w:t>
      </w:r>
      <w:r>
        <w:rPr>
          <w:sz w:val="28"/>
          <w:szCs w:val="28"/>
          <w:highlight w:val="white"/>
        </w:rPr>
        <w:t xml:space="preserve">-3)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установленного статьей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52.6 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none"/>
        </w:rPr>
        <w:t xml:space="preserve"> абзацем следующего содержания: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Условно разрешенный вид использования </w:t>
      </w:r>
      <w:r>
        <w:rPr>
          <w:sz w:val="28"/>
          <w:szCs w:val="28"/>
        </w:rPr>
        <w:t xml:space="preserve">«магазины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подлежит применению в случае обоснования целесообразности размещения магазина в зависимости от радиуса обслуживания населения предприятиями торговли местного значения в городах, установленного </w:t>
      </w:r>
      <w:r>
        <w:rPr>
          <w:sz w:val="28"/>
          <w:szCs w:val="28"/>
        </w:rPr>
        <w:t xml:space="preserve">в соответствии с пунктом 10.4 СП 42.13330.2016 «Градостроительство. Планировка и застройка городских и сельских поселений. Актуализированная редакция СНиП 2.07.01-89*.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с 15 августа 2025 г. </w:t>
      </w:r>
      <w:r>
        <w:rPr>
          <w:sz w:val="28"/>
          <w:szCs w:val="28"/>
          <w:highlight w:val="white"/>
        </w:rPr>
        <w:t xml:space="preserve">по 20 августа </w:t>
        <w:br/>
        <w:t xml:space="preserve">2025</w:t>
      </w:r>
      <w:r>
        <w:rPr>
          <w:sz w:val="28"/>
          <w:szCs w:val="28"/>
          <w:highlight w:val="white"/>
        </w:rPr>
        <w:t xml:space="preserve"> г.: понедельник</w:t>
      </w:r>
      <w:r>
        <w:rPr>
          <w:sz w:val="28"/>
          <w:szCs w:val="28"/>
          <w:highlight w:val="white"/>
        </w:rPr>
        <w:t xml:space="preserve">-среда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09.00 час. </w:t>
        <w:br/>
      </w:r>
      <w:r>
        <w:rPr>
          <w:sz w:val="28"/>
          <w:szCs w:val="28"/>
          <w:highlight w:val="white"/>
        </w:rPr>
        <w:t xml:space="preserve">до 17.00 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  <w:highlight w:val="white"/>
        </w:rPr>
        <w:t xml:space="preserve">Мотовилихинского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  <w:highlight w:val="white"/>
        </w:rPr>
        <w:t xml:space="preserve">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57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614105, г. Пермь, микрорайон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, ул. Транспортная, 2, администрация поселка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614068</w:t>
      </w:r>
      <w:r>
        <w:rPr>
          <w:color w:val="000000"/>
          <w:sz w:val="28"/>
          <w:szCs w:val="28"/>
          <w:highlight w:val="white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614101,</w:t>
      </w:r>
      <w:r>
        <w:rPr>
          <w:sz w:val="28"/>
          <w:szCs w:val="28"/>
          <w:highlight w:val="white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17.00 час. до 17.20 </w:t>
      </w:r>
      <w:r>
        <w:rPr>
          <w:sz w:val="28"/>
          <w:szCs w:val="28"/>
          <w:highlight w:val="white"/>
        </w:rPr>
        <w:t xml:space="preserve">час.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18 августа 2025 г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  <w:highlight w:val="white"/>
        </w:rPr>
        <w:t xml:space="preserve">актовый зал, </w:t>
      </w:r>
      <w:r>
        <w:rPr>
          <w:color w:val="000000"/>
          <w:sz w:val="28"/>
          <w:szCs w:val="28"/>
          <w:highlight w:val="white"/>
        </w:rPr>
        <w:t xml:space="preserve">администрация Орджоникидзевского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18 августа 2025 г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614014, г. Пермь, ул. Уральская, </w:t>
      </w:r>
      <w:r>
        <w:rPr>
          <w:color w:val="000000"/>
          <w:sz w:val="28"/>
          <w:highlight w:val="white"/>
        </w:rPr>
        <w:t xml:space="preserve">36,</w:t>
      </w:r>
      <w:r>
        <w:rPr>
          <w:color w:val="000000"/>
          <w:sz w:val="28"/>
          <w:highlight w:val="white"/>
        </w:rPr>
        <w:t xml:space="preserve"> каб.103,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highlight w:val="white"/>
        </w:rPr>
        <w:t xml:space="preserve">Мотовилихинского</w:t>
      </w:r>
      <w:r>
        <w:rPr>
          <w:color w:val="000000"/>
          <w:sz w:val="28"/>
          <w:highlight w:val="white"/>
        </w:rPr>
        <w:t xml:space="preserve"> района города Перми;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18 августа 2025 г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614095, г. Пермь, ул. Мира, 15, </w:t>
      </w:r>
      <w:r>
        <w:rPr>
          <w:color w:val="000000"/>
          <w:sz w:val="28"/>
          <w:szCs w:val="28"/>
          <w:highlight w:val="white"/>
        </w:rPr>
        <w:t xml:space="preserve">актовый зал (конференц-зал), </w:t>
      </w:r>
      <w:r>
        <w:rPr>
          <w:color w:val="000000"/>
          <w:sz w:val="28"/>
          <w:szCs w:val="28"/>
          <w:highlight w:val="white"/>
        </w:rPr>
        <w:t xml:space="preserve">администрация Инду</w:t>
      </w:r>
      <w:r>
        <w:rPr>
          <w:color w:val="000000"/>
          <w:sz w:val="28"/>
          <w:szCs w:val="28"/>
          <w:highlight w:val="white"/>
        </w:rPr>
        <w:t xml:space="preserve">стриального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19 августа 2025 г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</w:t>
      </w:r>
      <w:r>
        <w:rPr>
          <w:color w:val="000000"/>
          <w:sz w:val="28"/>
          <w:szCs w:val="28"/>
          <w:highlight w:val="white"/>
        </w:rPr>
        <w:t xml:space="preserve">57,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19 августа 2025 г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614105, г. Пермь, микрорайон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ул. Транспортная, 2, </w:t>
      </w:r>
      <w:r>
        <w:rPr>
          <w:sz w:val="28"/>
          <w:szCs w:val="28"/>
          <w:highlight w:val="white"/>
        </w:rPr>
        <w:t xml:space="preserve">каб</w:t>
      </w:r>
      <w:r>
        <w:rPr>
          <w:sz w:val="28"/>
          <w:szCs w:val="28"/>
          <w:highlight w:val="white"/>
        </w:rPr>
        <w:t xml:space="preserve">. 213, </w:t>
      </w:r>
      <w:r>
        <w:rPr>
          <w:sz w:val="28"/>
          <w:szCs w:val="28"/>
          <w:highlight w:val="white"/>
        </w:rPr>
        <w:t xml:space="preserve">администрация поселка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19 августа 2025 г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614068</w:t>
      </w:r>
      <w:r>
        <w:rPr>
          <w:color w:val="000000"/>
          <w:sz w:val="28"/>
          <w:highlight w:val="white"/>
        </w:rPr>
        <w:t xml:space="preserve">, г. Пермь, ул. Ленина, </w:t>
      </w:r>
      <w:r>
        <w:rPr>
          <w:color w:val="000000"/>
          <w:sz w:val="28"/>
          <w:highlight w:val="white"/>
        </w:rPr>
        <w:t xml:space="preserve">85,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12, </w:t>
      </w:r>
      <w:r>
        <w:rPr>
          <w:color w:val="000000"/>
          <w:sz w:val="28"/>
          <w:highlight w:val="white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20 августа 2025 г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614101</w:t>
      </w:r>
      <w:r>
        <w:rPr>
          <w:sz w:val="28"/>
          <w:szCs w:val="28"/>
          <w:highlight w:val="white"/>
        </w:rPr>
        <w:t xml:space="preserve">, г. Пермь, ул. Кировоградская,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33,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каб</w:t>
      </w:r>
      <w:r>
        <w:rPr>
          <w:sz w:val="28"/>
          <w:szCs w:val="28"/>
          <w:highlight w:val="white"/>
        </w:rPr>
        <w:t xml:space="preserve">. 9, </w:t>
      </w:r>
      <w:r>
        <w:rPr>
          <w:sz w:val="28"/>
          <w:szCs w:val="28"/>
          <w:highlight w:val="white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20 августа 2025 </w:t>
      </w:r>
      <w:r>
        <w:rPr>
          <w:color w:val="000000"/>
          <w:sz w:val="28"/>
          <w:szCs w:val="28"/>
          <w:highlight w:val="white"/>
        </w:rPr>
        <w:t xml:space="preserve">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</w:t>
      </w:r>
      <w:r>
        <w:rPr>
          <w:color w:val="000000"/>
          <w:sz w:val="28"/>
          <w:szCs w:val="28"/>
          <w:highlight w:val="white"/>
        </w:rPr>
        <w:t xml:space="preserve">58,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101, </w:t>
      </w:r>
      <w:r>
        <w:rPr>
          <w:color w:val="000000"/>
          <w:sz w:val="28"/>
          <w:szCs w:val="28"/>
          <w:highlight w:val="white"/>
        </w:rPr>
        <w:t xml:space="preserve">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15 августа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20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</w:t>
      </w:r>
      <w:r>
        <w:rPr>
          <w:color w:val="000000"/>
          <w:sz w:val="28"/>
          <w:szCs w:val="28"/>
          <w:highlight w:val="white"/>
        </w:rPr>
        <w:t xml:space="preserve">20 августа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8"/>
          <w:szCs w:val="28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50</cp:revision>
  <dcterms:created xsi:type="dcterms:W3CDTF">2024-11-20T04:28:00Z</dcterms:created>
  <dcterms:modified xsi:type="dcterms:W3CDTF">2025-08-04T11:53:58Z</dcterms:modified>
</cp:coreProperties>
</file>