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,</w: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8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0"/>
                                        <wp:docPr id="3" name="Рисунок 1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Рисунок 1" descr="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alse">
                                        <v:path textboxrect="0,0,0,0"/>
                                        <v:imagedata r:id="rId16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60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17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17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59000"/>
                            <a:ext cx="1527840" cy="300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17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8560" y="1361520"/>
                            <a:ext cx="1077480" cy="300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17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3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3" o:spid="_x0000_s3" o:spt="1" type="#_x0000_t1" style="position:absolute;left:0;top:0;width:62859;height:16585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88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0"/>
                                  <wp:docPr id="3" name="Рисунок 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1" descr="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alse">
                                  <v:path textboxrect="0,0,0,0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0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17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17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1" type="#_x0000_t1" style="position:absolute;left:2584;top:13590;width:15278;height:3002;v-text-anchor:top;visibility:visible;" filled="f" stroked="f" strokeweight="0.00pt">
                  <v:textbox inset="0,0,0,0">
                    <w:txbxContent>
                      <w:p>
                        <w:pPr>
                          <w:pStyle w:val="817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1" type="#_x0000_t1" style="position:absolute;left:49485;top:13615;width:10774;height:3002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817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4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8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bookmarkStart w:id="1" w:name="_GoBack"/>
      <w:r/>
      <w:bookmarkEnd w:id="1"/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17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17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17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17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1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4"/>
        <w:ind w:left="0" w:right="5388" w:firstLine="0"/>
        <w:spacing w:line="240" w:lineRule="exact"/>
        <w:rPr>
          <w:b/>
          <w:sz w:val="28"/>
          <w:szCs w:val="28"/>
        </w:rPr>
      </w:pPr>
      <w:r>
        <w:rPr>
          <w:b/>
          <w:sz w:val="28"/>
        </w:rPr>
        <w:t xml:space="preserve">О внесении изменений в Документ </w:t>
        <w:br/>
        <w:t xml:space="preserve">планирования регулярных </w:t>
        <w:br/>
        <w:t xml:space="preserve">перевозок по муниципальным </w:t>
        <w:br/>
        <w:t xml:space="preserve">маршрутам города Перми, </w:t>
        <w:br/>
      </w:r>
      <w:r>
        <w:rPr>
          <w:b/>
          <w:sz w:val="28"/>
          <w:szCs w:val="28"/>
        </w:rPr>
        <w:t xml:space="preserve">утвержденный постановлением </w:t>
        <w:br/>
        <w:t xml:space="preserve">администрации города Перми </w:t>
        <w:br/>
        <w:t xml:space="preserve">от 22.03.2017 № 210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4"/>
        <w:ind w:left="0" w:right="5388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left="0" w:right="5388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left="0" w:right="5388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left="0" w:right="0" w:firstLine="720"/>
        <w:jc w:val="both"/>
      </w:pPr>
      <w:r>
        <w:rPr>
          <w:sz w:val="28"/>
        </w:rPr>
        <w:t xml:space="preserve">В соответствии с Федеральным законом от 13 июля 2015 г. № 220-ФЗ </w:t>
        <w:br/>
        <w:t xml:space="preserve">«Об организации регулярных перевозок</w:t>
      </w:r>
      <w:r>
        <w:rPr>
          <w:sz w:val="28"/>
        </w:rPr>
        <w:t xml:space="preserve">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решением Пермской городской Думы от 24 мая 2016 г. № 96 «Об </w:t>
      </w:r>
      <w:r>
        <w:rPr>
          <w:sz w:val="28"/>
        </w:rPr>
        <w:t xml:space="preserve">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Перми», постановлением администрации города Перми от 28 ноября 2016 г. № 1057 «Об утверждении Порядка подг</w:t>
      </w:r>
      <w:r>
        <w:rPr>
          <w:sz w:val="28"/>
        </w:rPr>
        <w:t xml:space="preserve">отовки документа планирования регулярных перевозок по муниципальным маршрутам города Перми», в целях</w:t>
        <w:br/>
        <w:t xml:space="preserve">совершенствования нормативных правовых актов в сфере организации транспортного обслуживания населения города Перми администрация</w:t>
        <w:br/>
        <w:t xml:space="preserve">города Перми ПОСТАНОВЛЯЕТ:</w:t>
      </w:r>
      <w:r/>
    </w:p>
    <w:p>
      <w:pPr>
        <w:pStyle w:val="954"/>
        <w:ind w:left="0" w:right="0" w:firstLine="720"/>
        <w:jc w:val="both"/>
        <w:spacing w:before="0" w:after="0"/>
        <w:rPr>
          <w:highlight w:val="white"/>
        </w:rPr>
      </w:pPr>
      <w:r>
        <w:rPr>
          <w:sz w:val="28"/>
        </w:rPr>
        <w:t xml:space="preserve">1. Утвердить прилагаемые изменения в Документ планирования регулярных перевозок по муниципа</w:t>
      </w:r>
      <w:r>
        <w:rPr>
          <w:sz w:val="28"/>
        </w:rPr>
        <w:t xml:space="preserve">льным маршрутам города Перми, утвержденный постановлением администрации города Перми от 22 марта 2017 г. № 210 (в ред.</w:t>
        <w:br/>
        <w:t xml:space="preserve">от 03.05.2018 № 265, от 18.12.2018 № 999, от 29.03.2019 № 181, от 30.04.2019</w:t>
        <w:br/>
        <w:t xml:space="preserve">№ 143-П, от 06.06.2019 № 251, от 08.07.2019 № 366, от 30.09.</w:t>
      </w:r>
      <w:r>
        <w:rPr>
          <w:sz w:val="28"/>
        </w:rPr>
        <w:t xml:space="preserve">2019 № 614,</w:t>
        <w:br/>
        <w:t xml:space="preserve">от 17.10.2019 № 732, от 05.12.2019 № 972, от 03.02.2020 № 101, от 18.03.2020</w:t>
        <w:br/>
        <w:t xml:space="preserve">№ 234, от 06.04.2020 № 321, от 22.05.2020 № 451, от 07.07.2020 № 583,</w:t>
        <w:br/>
        <w:t xml:space="preserve">от 10.09.2020 № 815, от 30.09.2020 № 912, от 08.12.2020 № 1239, от 15.01.2021</w:t>
        <w:br/>
        <w:t xml:space="preserve">№ 8, от 18.03.2021 </w:t>
      </w:r>
      <w:r>
        <w:rPr>
          <w:sz w:val="28"/>
        </w:rPr>
        <w:t xml:space="preserve">№ 168, от 03.06.2021 № 400, от 02.07.2021 № 494, от 12.08.2021 № 596, от 16.09.2021 № 712, от 29.10.2021 № 955, от 24.12.2021 № 1220,</w:t>
        <w:br/>
        <w:t xml:space="preserve">от 14.04.2022 № 284, от 09.08.2022 № 666, от 29.09.2022 № 877, от 23.11.2022</w:t>
        <w:br/>
        <w:t xml:space="preserve">№ 1179, от 19.01.2023 № 29, от 17.02.2023 № 1</w:t>
      </w:r>
      <w:r>
        <w:rPr>
          <w:sz w:val="28"/>
        </w:rPr>
        <w:t xml:space="preserve">20, от 31.03.2023 № 256,</w:t>
        <w:br/>
        <w:t xml:space="preserve">от 26.05.2023 № 429, от 22.06.2023 № 523, от 24.08.2023 № 751, от 21.11.2023</w:t>
        <w:br/>
        <w:t xml:space="preserve">№ 1278, от 16.01.2024 № 26, от 14.03.2024 № 188, от 09.08.2024 № 635,</w:t>
        <w:br/>
      </w:r>
      <w:r>
        <w:rPr>
          <w:sz w:val="28"/>
          <w:highlight w:val="white"/>
        </w:rPr>
        <w:t xml:space="preserve">от 09.12.2024 № 1195, от 03.02.2025 № 37, от 13.05.2025 № 317, от 21.07.2025 № 480) (далее – Изменения).</w:t>
      </w:r>
      <w:r>
        <w:rPr>
          <w:highlight w:val="white"/>
        </w:rPr>
      </w:r>
      <w:r>
        <w:rPr>
          <w:highlight w:val="white"/>
        </w:rPr>
      </w:r>
    </w:p>
    <w:p>
      <w:pPr>
        <w:pStyle w:val="954"/>
        <w:ind w:left="0" w:right="0" w:firstLine="709"/>
        <w:jc w:val="both"/>
        <w:spacing w:before="0" w:after="0"/>
        <w:rPr>
          <w:highlight w:val="white"/>
        </w:rPr>
      </w:pPr>
      <w:r>
        <w:rPr>
          <w:sz w:val="28"/>
          <w:highlight w:val="white"/>
        </w:rPr>
        <w:t xml:space="preserve">2</w:t>
      </w:r>
      <w:r>
        <w:rPr>
          <w:sz w:val="28"/>
          <w:highlight w:val="white"/>
          <w:shd w:val="clear" w:color="auto" w:fill="ffffff"/>
        </w:rPr>
        <w:t xml:space="preserve"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0"/>
          <w:highlight w:val="white"/>
          <w:u w:val="none"/>
          <w:shd w:val="clear" w:color="auto" w:fill="ffffff"/>
          <w:vertAlign w:val="baseline"/>
          <w:lang w:val="ru-RU" w:eastAsia="zh-CN" w:bidi="ar-SA"/>
        </w:rPr>
        <w:t xml:space="preserve">за исключением положений, для которых настоящим пунктом установлен иной срок вступления в силу:</w:t>
      </w:r>
      <w:r>
        <w:rPr>
          <w:highlight w:val="white"/>
        </w:rPr>
      </w:r>
      <w:r>
        <w:rPr>
          <w:highlight w:val="white"/>
        </w:rPr>
      </w:r>
    </w:p>
    <w:p>
      <w:pPr>
        <w:pStyle w:val="954"/>
        <w:ind w:left="0" w:right="0" w:firstLine="709"/>
        <w:jc w:val="both"/>
        <w:spacing w:before="0" w:after="0"/>
        <w:rPr>
          <w:highlight w:val="white"/>
        </w:rPr>
      </w:pP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0"/>
          <w:highlight w:val="white"/>
          <w:u w:val="none"/>
          <w:shd w:val="clear" w:color="auto" w:fill="ffffff"/>
          <w:vertAlign w:val="baseline"/>
          <w:lang w:val="ru-RU" w:eastAsia="zh-CN" w:bidi="ar-SA"/>
        </w:rPr>
        <w:t xml:space="preserve">2.1.  пункты 1.1, 2.1, 4.1 Изменений вступают в силу с 01 октября 2025 г.</w:t>
      </w:r>
      <w:r>
        <w:rPr>
          <w:highlight w:val="white"/>
        </w:rPr>
      </w:r>
      <w:r>
        <w:rPr>
          <w:highlight w:val="white"/>
        </w:rPr>
      </w:r>
    </w:p>
    <w:p>
      <w:pPr>
        <w:pStyle w:val="954"/>
        <w:ind w:left="0" w:right="0" w:firstLine="709"/>
        <w:jc w:val="both"/>
        <w:spacing w:before="0" w:after="0"/>
      </w:pPr>
      <w:r>
        <w:rPr>
          <w:sz w:val="28"/>
        </w:rPr>
        <w:t xml:space="preserve">3. Управлению по общим вопр</w:t>
      </w:r>
      <w:r>
        <w:rPr>
          <w:sz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954"/>
        <w:ind w:left="0" w:right="0" w:firstLine="709"/>
        <w:jc w:val="both"/>
        <w:spacing w:before="0" w:after="0"/>
      </w:pPr>
      <w:r>
        <w:rPr>
          <w:sz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/>
    </w:p>
    <w:p>
      <w:pPr>
        <w:pStyle w:val="954"/>
        <w:ind w:left="0" w:right="0" w:firstLine="720"/>
        <w:jc w:val="both"/>
        <w:spacing w:before="0" w:after="0"/>
      </w:pPr>
      <w:r>
        <w:rPr>
          <w:sz w:val="28"/>
        </w:rPr>
        <w:t xml:space="preserve">5. Контроль за исполнением настоящего постановления возложить</w:t>
        <w:br/>
        <w:t xml:space="preserve">на заместителя главы администрации города Перми Галиханова Д.К.</w:t>
      </w:r>
      <w:r/>
    </w:p>
    <w:p>
      <w:pPr>
        <w:pStyle w:val="81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left="0" w:right="0" w:firstLine="0"/>
        <w:jc w:val="both"/>
        <w:spacing w:before="0" w:after="0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3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1701" w:equalWidth="1"/>
          <w:docGrid w:linePitch="360"/>
          <w:titlePg/>
        </w:sectPr>
      </w:pPr>
      <w:r>
        <w:rPr>
          <w:sz w:val="28"/>
        </w:rPr>
        <w:t xml:space="preserve">Глава города Перми</w:t>
        <w:tab/>
        <w:t xml:space="preserve">                                                                               Э.О. Соснин</w:t>
      </w:r>
      <w: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9921" w:right="0" w:firstLine="0"/>
        <w:jc w:val="both"/>
        <w:spacing w:before="0" w:after="0" w:line="240" w:lineRule="exact"/>
        <w:rPr>
          <w:highlight w:val="none"/>
        </w:rPr>
      </w:pPr>
      <w:r>
        <w:t xml:space="preserve">УТВЕРЖДЕНЫ </w:t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ind w:left="9921" w:right="0" w:firstLine="0"/>
        <w:jc w:val="both"/>
        <w:spacing w:line="240" w:lineRule="exact"/>
      </w:pPr>
      <w:r>
        <w:t xml:space="preserve">постановлением администрации </w:t>
      </w:r>
      <w:r/>
    </w:p>
    <w:p>
      <w:pPr>
        <w:pStyle w:val="902"/>
        <w:ind w:left="9921" w:right="0" w:firstLine="0"/>
        <w:jc w:val="both"/>
        <w:spacing w:line="240" w:lineRule="exact"/>
      </w:pPr>
      <w:r>
        <w:t xml:space="preserve">города Перми </w:t>
      </w:r>
      <w:r/>
    </w:p>
    <w:p>
      <w:pPr>
        <w:pStyle w:val="902"/>
        <w:ind w:left="9921" w:right="0" w:firstLine="0"/>
        <w:jc w:val="both"/>
        <w:spacing w:line="240" w:lineRule="exact"/>
      </w:pPr>
      <w:r>
        <w:t xml:space="preserve">от </w:t>
      </w:r>
      <w:r/>
    </w:p>
    <w:p>
      <w:pPr>
        <w:pStyle w:val="902"/>
        <w:ind w:left="9921" w:right="0" w:firstLine="0"/>
        <w:jc w:val="both"/>
        <w:spacing w:line="240" w:lineRule="exact"/>
      </w:pPr>
      <w:r/>
      <w:r/>
    </w:p>
    <w:p>
      <w:pPr>
        <w:pStyle w:val="955"/>
        <w:spacing w:line="240" w:lineRule="exac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  <w:bookmarkStart w:id="3" w:name="undefined"/>
      <w:r/>
      <w:bookmarkEnd w:id="3"/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55"/>
        <w:spacing w:line="240" w:lineRule="exac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55"/>
        <w:spacing w:line="240" w:lineRule="exac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55"/>
        <w:jc w:val="center"/>
        <w:spacing w:line="240" w:lineRule="exact"/>
      </w:pPr>
      <w:r>
        <w:rPr>
          <w:rFonts w:ascii="Times New Roman" w:hAnsi="Times New Roman" w:cs="Times New Roman"/>
          <w:sz w:val="28"/>
        </w:rPr>
        <w:t xml:space="preserve">ИЗМЕНЕНИЯ</w:t>
      </w:r>
      <w:r/>
    </w:p>
    <w:p>
      <w:pPr>
        <w:pStyle w:val="955"/>
        <w:jc w:val="center"/>
        <w:spacing w:line="240" w:lineRule="exact"/>
      </w:pPr>
      <w:r>
        <w:rPr>
          <w:rFonts w:ascii="Times New Roman" w:hAnsi="Times New Roman" w:cs="Times New Roman"/>
          <w:sz w:val="28"/>
        </w:rPr>
        <w:t xml:space="preserve">в Документ планирования регулярных перевозок по муниципальным маршрутам города Перми, 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sz w:val="28"/>
        </w:rPr>
        <w:t xml:space="preserve">утвержденный постановлением администрации города Перми от 22 марта 2017 г. № 210</w:t>
      </w:r>
      <w:r/>
    </w:p>
    <w:p>
      <w:pPr>
        <w:pStyle w:val="955"/>
        <w:spacing w:line="240" w:lineRule="exac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55"/>
        <w:spacing w:line="240" w:lineRule="exac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55"/>
        <w:ind w:left="0" w:right="0" w:firstLine="709"/>
        <w:jc w:val="both"/>
        <w:rPr>
          <w:rFonts w:ascii="Times New Roman" w:hAnsi="Times New Roman" w:cs="Times New Roman"/>
          <w:b w:val="0"/>
          <w:bCs w:val="0"/>
          <w:highlight w:val="white"/>
        </w:rPr>
      </w:pPr>
      <w:r>
        <w:rPr>
          <w:rFonts w:ascii="Times New Roman" w:hAnsi="Times New Roman" w:cs="Times New Roman"/>
          <w:b w:val="0"/>
          <w:sz w:val="28"/>
          <w:highlight w:val="white"/>
        </w:rPr>
        <w:t xml:space="preserve">1. В разделе 1 в подразделе «Муниципальные маршруты регулярных перевозок автомобильным транспортом </w:t>
        <w:br/>
        <w:t xml:space="preserve">по регулируемым тарифам»:</w:t>
      </w:r>
      <w:r>
        <w:rPr>
          <w:rFonts w:ascii="Times New Roman" w:hAnsi="Times New Roman" w:cs="Times New Roman"/>
          <w:b w:val="0"/>
          <w:bCs w:val="0"/>
          <w:highlight w:val="white"/>
        </w:rPr>
      </w:r>
      <w:r>
        <w:rPr>
          <w:rFonts w:ascii="Times New Roman" w:hAnsi="Times New Roman" w:cs="Times New Roman"/>
          <w:b w:val="0"/>
          <w:bCs w:val="0"/>
          <w:highlight w:val="white"/>
        </w:rPr>
      </w:r>
    </w:p>
    <w:p>
      <w:pPr>
        <w:pStyle w:val="955"/>
        <w:ind w:left="0" w:right="0" w:firstLine="709"/>
        <w:jc w:val="both"/>
        <w:rPr>
          <w:rFonts w:ascii="Times New Roman" w:hAnsi="Times New Roman" w:cs="Times New Roman"/>
          <w:b w:val="0"/>
          <w:highlight w:val="white"/>
        </w:rPr>
      </w:pPr>
      <w:r>
        <w:rPr>
          <w:rFonts w:ascii="Times New Roman" w:hAnsi="Times New Roman" w:cs="Times New Roman"/>
          <w:b w:val="0"/>
          <w:sz w:val="28"/>
          <w:highlight w:val="white"/>
        </w:rPr>
        <w:t xml:space="preserve">1.1.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 строку 12 изложить в следующей редакции:</w:t>
      </w:r>
      <w:r>
        <w:rPr>
          <w:rFonts w:ascii="Times New Roman" w:hAnsi="Times New Roman" w:cs="Times New Roman"/>
          <w:b w:val="0"/>
          <w:highlight w:val="white"/>
        </w:rPr>
      </w:r>
      <w:r>
        <w:rPr>
          <w:rFonts w:ascii="Times New Roman" w:hAnsi="Times New Roman" w:cs="Times New Roman"/>
          <w:b w:val="0"/>
          <w:highlight w:val="white"/>
        </w:rPr>
      </w:r>
    </w:p>
    <w:tbl>
      <w:tblPr>
        <w:tblW w:w="14842" w:type="dxa"/>
        <w:tblInd w:w="0" w:type="dxa"/>
        <w:tblLayout w:type="fixed"/>
        <w:tblCellMar>
          <w:left w:w="62" w:type="dxa"/>
          <w:top w:w="28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42"/>
        <w:gridCol w:w="1428"/>
        <w:gridCol w:w="2407"/>
        <w:gridCol w:w="2409"/>
        <w:gridCol w:w="3955"/>
        <w:gridCol w:w="420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42" w:type="dxa"/>
            <w:textDirection w:val="lrTb"/>
            <w:noWrap w:val="false"/>
          </w:tcPr>
          <w:p>
            <w:pPr>
              <w:pStyle w:val="902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12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902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13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7" w:type="dxa"/>
            <w:textDirection w:val="lrTb"/>
            <w:noWrap w:val="false"/>
          </w:tcPr>
          <w:p>
            <w:pPr>
              <w:pStyle w:val="902"/>
              <w:jc w:val="left"/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Песьянка - Планета – микрорайон Садовый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02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только в установленных остановочных пунктах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55" w:type="dxa"/>
            <w:textDirection w:val="lrTb"/>
            <w:noWrap w:val="false"/>
          </w:tcPr>
          <w:p>
            <w:pPr>
              <w:pStyle w:val="902"/>
              <w:jc w:val="left"/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по улицам: шоссе Космонавтов, Мира, Стахановской, Чкалова, Героев Хасана, </w:t>
            </w:r>
            <w:r>
              <w:rPr>
                <w:sz w:val="20"/>
                <w:highlight w:val="white"/>
              </w:rPr>
              <w:t xml:space="preserve">Белинского, площади Карла Маркса, Чернышевского, Южной дамбе, бульвару Гагарина, Ушинского, Аркадия Гайдара, Юрша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;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902"/>
              <w:jc w:val="left"/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с остановочными пунктами: деревня Песьянка, микрорайон Хмели, Совхозная, спортшкола «Олимпиец», Верхние Муллы, Школа № 107, Планета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:vertAlign w:val="superscript"/>
              </w:rPr>
              <w:t xml:space="preserve">14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, улица Дениса Давыдова (по шоссе Космонавтов)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:vertAlign w:val="superscript"/>
              </w:rPr>
              <w:t xml:space="preserve">14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, улица Милиционера Власова (по нечетной стороне улицы Мира)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:vertAlign w:val="superscript"/>
              </w:rPr>
              <w:t xml:space="preserve">14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, Ип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подром, улица Дениса Давыдова (по улице Мира), улица Космонавта Леонова (по улице Мира до перекрестка с улицей Космонавта Леонова), улица Одоевского (по улице Мира), Дворец культуры имени Гагарина, улица 9-го Мая, улица Советской Армии, улица Чайковского, 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улица Стахановская, улица Карпинского, улица Самолетная, улица Куйбышева (по улице Чкалова), улица Чкалова (по улице Героев Хасана), улица Соловьева, Комсомольская площадь, </w:t>
            </w:r>
            <w:r>
              <w:rPr>
                <w:sz w:val="20"/>
                <w:highlight w:val="white"/>
              </w:rPr>
              <w:t xml:space="preserve">площадь Карла Маркса, улица Чернышевского, </w:t>
            </w:r>
            <w:r>
              <w:rPr>
                <w:sz w:val="20"/>
                <w:highlight w:val="white"/>
              </w:rPr>
              <w:t xml:space="preserve">Авторадио</w:t>
            </w:r>
            <w:r>
              <w:rPr>
                <w:sz w:val="20"/>
                <w:highlight w:val="white"/>
              </w:rPr>
              <w:t xml:space="preserve">, бульвар Гагарина (по улице Ушинского), улица Ушинского, улица Пушскарская, улица Подольская, улица Уинская, Гимназия № 2, микрорайон Садовый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0" w:type="dxa"/>
            <w:textDirection w:val="lrTb"/>
            <w:noWrap w:val="false"/>
          </w:tcPr>
          <w:p>
            <w:pPr>
              <w:pStyle w:val="902"/>
              <w:jc w:val="left"/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по улицам: Юрша, Аркадия Гайдара, </w:t>
            </w:r>
            <w:r>
              <w:rPr>
                <w:sz w:val="20"/>
                <w:highlight w:val="white"/>
              </w:rPr>
              <w:t xml:space="preserve">Ушинского, бульвару Гагарина, Южной дамбе, Чернышевского, площади Карла Маркса, Белинского, Комсомольскому проспекту, 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Комсомольской площади, Белинского, Героев Хасана, Чкалова, Стахановской, Мира, шоссе Космонавтов;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902"/>
              <w:jc w:val="left"/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с остановочными пунктами: микрорайон Садовый,  Гимназия № 2, улица Уинская, улица Подольская, улица Пушкарская, улица Ушинского, </w:t>
            </w:r>
            <w:r>
              <w:rPr>
                <w:sz w:val="20"/>
                <w:highlight w:val="white"/>
              </w:rPr>
              <w:t xml:space="preserve">бульвар Гагарина (по улице Ушинского)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, </w:t>
            </w:r>
            <w:r>
              <w:rPr>
                <w:sz w:val="20"/>
                <w:highlight w:val="white"/>
              </w:rPr>
              <w:t xml:space="preserve">Авторадио</w:t>
            </w:r>
            <w:r>
              <w:rPr>
                <w:sz w:val="20"/>
                <w:highlight w:val="white"/>
              </w:rPr>
              <w:t xml:space="preserve">, улица Чернышевского, улица 25 Октября, площадь Карла Маркса (по улице Белинского), 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улица Героев Хасана, улица Соловьева, улица Чкалова (по улице Чкалова), улица Куйбышева (по улице Чкалова), улица Самолетная, улица Стахановская (по улице Мира), улица Чайковского, улица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 Советской Армии, улица 9-го Мая, Дворец культуры имени Гагарина, улица Одоевского (по улице Мира), улица Космонавта Леонова (по улице Мира после перекрестка с улицей Космонавта Леонова), улица Дениса Давыдова (по улице Мира), Ипподром, улица Милиционера В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ласова (по нечетной стороне шоссе Космонавтов)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:vertAlign w:val="superscript"/>
              </w:rPr>
              <w:t xml:space="preserve">14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, Планета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:vertAlign w:val="superscript"/>
              </w:rPr>
              <w:t xml:space="preserve">14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, улица Милиционера Власова (по шоссе Космонавтов), Школа № 107, Верхние Муллы, спортшкола «Олимпиец», Совхозная, микрорайон Хмели, деревня Песьянка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</w:tr>
    </w:tbl>
    <w:p>
      <w:pPr>
        <w:pStyle w:val="955"/>
        <w:ind w:left="0" w:right="0" w:firstLine="709"/>
        <w:jc w:val="both"/>
        <w:rPr>
          <w:rFonts w:ascii="Times New Roman" w:hAnsi="Times New Roman" w:cs="Times New Roman"/>
          <w:b w:val="0"/>
          <w:highlight w:val="white"/>
        </w:rPr>
      </w:pPr>
      <w:r>
        <w:rPr>
          <w:rFonts w:ascii="Times New Roman" w:hAnsi="Times New Roman" w:cs="Times New Roman"/>
          <w:b w:val="0"/>
          <w:sz w:val="28"/>
          <w:highlight w:val="white"/>
        </w:rPr>
        <w:t xml:space="preserve">1.2.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 строку 13 изложить в следующей редакции:</w:t>
      </w:r>
      <w:r>
        <w:rPr>
          <w:rFonts w:ascii="Times New Roman" w:hAnsi="Times New Roman" w:cs="Times New Roman"/>
          <w:b w:val="0"/>
          <w:highlight w:val="white"/>
        </w:rPr>
      </w:r>
      <w:r>
        <w:rPr>
          <w:rFonts w:ascii="Times New Roman" w:hAnsi="Times New Roman" w:cs="Times New Roman"/>
          <w:b w:val="0"/>
          <w:highlight w:val="white"/>
        </w:rPr>
      </w:r>
    </w:p>
    <w:tbl>
      <w:tblPr>
        <w:tblW w:w="14842" w:type="dxa"/>
        <w:tblInd w:w="0" w:type="dxa"/>
        <w:tblLayout w:type="fixed"/>
        <w:tblCellMar>
          <w:left w:w="62" w:type="dxa"/>
          <w:top w:w="28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42"/>
        <w:gridCol w:w="1428"/>
        <w:gridCol w:w="2407"/>
        <w:gridCol w:w="2409"/>
        <w:gridCol w:w="3955"/>
        <w:gridCol w:w="420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42" w:type="dxa"/>
            <w:textDirection w:val="lrTb"/>
            <w:noWrap w:val="false"/>
          </w:tcPr>
          <w:p>
            <w:pPr>
              <w:pStyle w:val="902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13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902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14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7" w:type="dxa"/>
            <w:textDirection w:val="lrTb"/>
            <w:noWrap w:val="false"/>
          </w:tcPr>
          <w:p>
            <w:pPr>
              <w:pStyle w:val="902"/>
              <w:jc w:val="left"/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Микрорайон Заостровка - микрорайон Юбилейный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02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только в установленных остановочных пунктах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55" w:type="dxa"/>
            <w:textDirection w:val="lrTb"/>
            <w:noWrap w:val="false"/>
          </w:tcPr>
          <w:p>
            <w:pPr>
              <w:pStyle w:val="902"/>
              <w:jc w:val="left"/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по улицам: Маяковского, Красина, Куфонина, проспекту Парковому, Зои Космодемьянской, Василия Каменского, Папанинцев, Фридриха Энгельса, Локомотивной, площадь Гайдара, Ленина, Комсомольскому проспекту, Луначарского, Николая Островского, Южной дамбе, бульвар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у Гагарина, Лихвинской, Самаркандской, Чукотской, Старцева, Холмогорской, Запорожской, Суздальской, Старцева;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902"/>
              <w:jc w:val="left"/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с остановочными пунктами: улица Маяковского, улица Новоколхозная, кинотеатр «Темп», ОАО «Красный Октябрь», микрорайон Парковый, улица Желябова, улица 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Пожарского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, проспект Парковый, Железнодорожная больница, улица Папанинцев, улица Фридриха Энгельса, Дворец культуры железнодорожников, улица Хохрякова, улица Плеханова, Пермский академический Театр-Театр, улица Борчанинова, улица Попова, улица Куйбышева/Филармония, 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ЦУМ, улица Сибирская, улица Максима Горького, улица Луначарского, гипермаркет «Семья», улица Тимирязева, Гимназия № 33, улица Чернышевского, Авторадио, улица Старцева, улица Самаркандская, улица 1-я Запорожская, улица 2-я Запорожская, микрорайон Юбилейный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0" w:type="dxa"/>
            <w:textDirection w:val="lrTb"/>
            <w:noWrap w:val="false"/>
          </w:tcPr>
          <w:p>
            <w:pPr>
              <w:pStyle w:val="902"/>
              <w:jc w:val="left"/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по улицам: Старцева, Чукотской, Самаркандской, Лихвинской, бульвару Гагарина, Южной дамбе, Николая Островского, Екатерининской, Комсомольскому проспекту, Ленина, площадь Гайдара, Локомотивной, Фридриха Энгельса, Папанинцев, Василия Каменского, Зои Космодем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ьянской, проспекту Парковому, Куфонина, Красина, Маяковского;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902"/>
              <w:jc w:val="left"/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с остано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вочными пунктами: микрорайон Юбилейный, улица 1-я Запорожская, улица Самаркандская, улица Старцева, Авторадио, улица Чернышевского, улица Тимирязева, гипермаркет «Семья», улица Луначарского, улица Максима Горького, Театр юного зрителя, улица Екатерининская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(в районе дома  № 32 по Комсомольскому проспекту), ЦУМ, улица Куйбышева/Филармония, улица Попова, улица Борчанинова, Пермский академический Театр-Театр, улица Плеханова, улица Хохрякова, улица Локомотивная, Дворец культуры железнодорожников, улица Фридриха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 Энгельса, улица Папанинцев, Железнодорожная больница, проспект Парковый, улица 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Пожарского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, улица Желябова, микрорайон Парковый, ОАО «Красный Октябрь», кинотеатр «Темп», улица Сергея Есенина, улица Новоколхозная, улица Маяковского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</w:tr>
    </w:tbl>
    <w:p>
      <w:pPr>
        <w:pStyle w:val="955"/>
        <w:ind w:left="0" w:right="0" w:firstLine="720"/>
        <w:jc w:val="both"/>
        <w:rPr>
          <w:rFonts w:ascii="Times New Roman" w:hAnsi="Times New Roman" w:cs="Times New Roman"/>
          <w:b w:val="0"/>
          <w:bCs w:val="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1.3. 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в графе 6 строки 30 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после слов 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«улица Лодыгина,» 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дополнить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 словами «Восток-Сервис,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»;</w:t>
      </w:r>
      <w:r>
        <w:rPr>
          <w:rFonts w:ascii="Times New Roman" w:hAnsi="Times New Roman" w:cs="Times New Roman"/>
          <w:b w:val="0"/>
          <w:bCs w:val="0"/>
          <w:highlight w:val="white"/>
        </w:rPr>
      </w:r>
      <w:r>
        <w:rPr>
          <w:rFonts w:ascii="Times New Roman" w:hAnsi="Times New Roman" w:cs="Times New Roman"/>
          <w:b w:val="0"/>
          <w:bCs w:val="0"/>
          <w:highlight w:val="white"/>
        </w:rPr>
      </w:r>
    </w:p>
    <w:p>
      <w:pPr>
        <w:pStyle w:val="955"/>
        <w:ind w:left="0" w:right="0" w:firstLine="720"/>
        <w:jc w:val="both"/>
        <w:rPr>
          <w:rFonts w:ascii="Times New Roman" w:hAnsi="Times New Roman" w:cs="Times New Roman"/>
          <w:b w:val="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1.4. 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в строке 35:</w:t>
      </w:r>
      <w:r>
        <w:rPr>
          <w:rFonts w:ascii="Times New Roman" w:hAnsi="Times New Roman" w:cs="Times New Roman"/>
          <w:b w:val="0"/>
          <w:highlight w:val="white"/>
        </w:rPr>
      </w:r>
      <w:r>
        <w:rPr>
          <w:rFonts w:ascii="Times New Roman" w:hAnsi="Times New Roman" w:cs="Times New Roman"/>
          <w:b w:val="0"/>
          <w:highlight w:val="white"/>
        </w:rPr>
      </w:r>
    </w:p>
    <w:p>
      <w:pPr>
        <w:pStyle w:val="955"/>
        <w:ind w:left="0" w:right="0" w:firstLine="720"/>
        <w:jc w:val="both"/>
        <w:rPr>
          <w:rFonts w:ascii="Times New Roman" w:hAnsi="Times New Roman" w:cs="Times New Roman"/>
          <w:b w:val="0"/>
          <w:highlight w:val="white"/>
        </w:rPr>
      </w:pPr>
      <w:r>
        <w:rPr>
          <w:rFonts w:ascii="Times New Roman" w:hAnsi="Times New Roman" w:cs="Times New Roman"/>
          <w:b w:val="0"/>
          <w:sz w:val="28"/>
          <w:highlight w:val="white"/>
        </w:rPr>
        <w:t xml:space="preserve">1.4.1.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 графе 5:</w:t>
      </w:r>
      <w:r>
        <w:rPr>
          <w:rFonts w:ascii="Times New Roman" w:hAnsi="Times New Roman" w:cs="Times New Roman"/>
          <w:b w:val="0"/>
          <w:highlight w:val="white"/>
        </w:rPr>
      </w:r>
      <w:r>
        <w:rPr>
          <w:rFonts w:ascii="Times New Roman" w:hAnsi="Times New Roman" w:cs="Times New Roman"/>
          <w:b w:val="0"/>
          <w:highlight w:val="white"/>
        </w:rPr>
      </w:r>
    </w:p>
    <w:p>
      <w:pPr>
        <w:pStyle w:val="955"/>
        <w:ind w:left="0" w:right="0" w:firstLine="720"/>
        <w:jc w:val="both"/>
        <w:rPr>
          <w:rFonts w:ascii="Times New Roman" w:hAnsi="Times New Roman" w:cs="Times New Roman"/>
          <w:b w:val="0"/>
          <w:bCs w:val="0"/>
          <w:highlight w:val="white"/>
        </w:rPr>
      </w:pPr>
      <w:r>
        <w:rPr>
          <w:rFonts w:ascii="Times New Roman" w:hAnsi="Times New Roman" w:cs="Times New Roman"/>
          <w:b w:val="0"/>
          <w:sz w:val="28"/>
          <w:highlight w:val="white"/>
        </w:rPr>
        <w:t xml:space="preserve">1.4.1.1.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 слово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Столбовой,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 заменить словом «Стахановская»;</w:t>
      </w:r>
      <w:r>
        <w:rPr>
          <w:rFonts w:ascii="Times New Roman" w:hAnsi="Times New Roman" w:cs="Times New Roman"/>
          <w:b w:val="0"/>
          <w:bCs w:val="0"/>
          <w:highlight w:val="white"/>
        </w:rPr>
      </w:r>
      <w:r>
        <w:rPr>
          <w:rFonts w:ascii="Times New Roman" w:hAnsi="Times New Roman" w:cs="Times New Roman"/>
          <w:b w:val="0"/>
          <w:bCs w:val="0"/>
          <w:highlight w:val="white"/>
        </w:rPr>
      </w:r>
    </w:p>
    <w:p>
      <w:pPr>
        <w:pStyle w:val="955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1.4.1.1. слова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улица Левченко, шоссе Космонавтов (в районе дома № 55а по шоссе Космонавтов)» заменить словами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улица Стахановская, улица Снайперов, улица Баумана, улица Блюхера,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955"/>
        <w:ind w:left="0" w:right="0" w:firstLine="720"/>
        <w:jc w:val="both"/>
        <w:rPr>
          <w:rFonts w:ascii="Times New Roman" w:hAnsi="Times New Roman" w:cs="Times New Roman"/>
          <w:b w:val="0"/>
          <w:highlight w:val="white"/>
        </w:rPr>
      </w:pPr>
      <w:r>
        <w:rPr>
          <w:rFonts w:ascii="Times New Roman" w:hAnsi="Times New Roman" w:cs="Times New Roman"/>
          <w:b w:val="0"/>
          <w:sz w:val="28"/>
          <w:highlight w:val="white"/>
        </w:rPr>
        <w:t xml:space="preserve">1.4.2. 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в графе 6:</w:t>
      </w:r>
      <w:r>
        <w:rPr>
          <w:rFonts w:ascii="Times New Roman" w:hAnsi="Times New Roman" w:cs="Times New Roman"/>
          <w:b w:val="0"/>
          <w:highlight w:val="white"/>
        </w:rPr>
      </w:r>
      <w:r>
        <w:rPr>
          <w:rFonts w:ascii="Times New Roman" w:hAnsi="Times New Roman" w:cs="Times New Roman"/>
          <w:b w:val="0"/>
          <w:highlight w:val="white"/>
        </w:rPr>
      </w:r>
    </w:p>
    <w:p>
      <w:pPr>
        <w:pStyle w:val="955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highlight w:val="white"/>
        </w:rPr>
        <w:t xml:space="preserve">1.4.2.1.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слово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Столбовой,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 заменить словом «Стахановская»;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955"/>
        <w:ind w:left="0"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 w:val="0"/>
          <w:sz w:val="28"/>
          <w:highlight w:val="white"/>
        </w:rPr>
        <w:t xml:space="preserve">1.4.2.2.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слова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улица Левченко,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заменить словами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 улица Блюхера, манеж «Спартак», Печатная фабрика «Гознак» (в районе дома № 115 по шоссе Космонавтов), улица Баумана, улица Снайперов, улица Стахановская,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955"/>
        <w:ind w:left="0" w:right="0" w:firstLine="720"/>
        <w:jc w:val="both"/>
        <w:rPr>
          <w:rFonts w:ascii="Times New Roman" w:hAnsi="Times New Roman" w:cs="Times New Roman"/>
          <w:b w:val="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1.3.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графе 5 строки 52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 после слов 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«Школа № 135,» 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дополнить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 словами «Грибоедовский,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»;</w:t>
      </w:r>
      <w:r>
        <w:rPr>
          <w:rFonts w:ascii="Times New Roman" w:hAnsi="Times New Roman" w:cs="Times New Roman"/>
          <w:b w:val="0"/>
          <w:highlight w:val="white"/>
        </w:rPr>
      </w:r>
      <w:r>
        <w:rPr>
          <w:rFonts w:ascii="Times New Roman" w:hAnsi="Times New Roman" w:cs="Times New Roman"/>
          <w:b w:val="0"/>
          <w:highlight w:val="white"/>
        </w:rPr>
      </w:r>
    </w:p>
    <w:p>
      <w:pPr>
        <w:pStyle w:val="955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highlight w:val="white"/>
        </w:rPr>
        <w:t xml:space="preserve">1.4. строку 56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tbl>
      <w:tblPr>
        <w:tblW w:w="1485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4"/>
        <w:gridCol w:w="1301"/>
        <w:gridCol w:w="2662"/>
        <w:gridCol w:w="2104"/>
        <w:gridCol w:w="4085"/>
        <w:gridCol w:w="420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textDirection w:val="lrTb"/>
            <w:noWrap w:val="false"/>
          </w:tcPr>
          <w:p>
            <w:pPr>
              <w:pStyle w:val="81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1" w:type="dxa"/>
            <w:textDirection w:val="lrTb"/>
            <w:noWrap w:val="false"/>
          </w:tcPr>
          <w:p>
            <w:pPr>
              <w:pStyle w:val="81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2" w:type="dxa"/>
            <w:textDirection w:val="lrTb"/>
            <w:noWrap w:val="false"/>
          </w:tcPr>
          <w:p>
            <w:pPr>
              <w:pStyle w:val="817"/>
              <w:jc w:val="left"/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  <w:t xml:space="preserve">Микрорайон Юбилейный – микрорайон Нагорный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textDirection w:val="lrTb"/>
            <w:noWrap w:val="false"/>
          </w:tcPr>
          <w:p>
            <w:pPr>
              <w:pStyle w:val="817"/>
              <w:jc w:val="center"/>
              <w:rPr>
                <w:highlight w:val="white"/>
                <w:shd w:val="clear" w:color="auto" w:fill="ffffff"/>
              </w:rPr>
            </w:pPr>
            <w:r>
              <w:rPr>
                <w:highlight w:val="white"/>
                <w:shd w:val="clear" w:color="auto" w:fill="ffffff"/>
              </w:rPr>
              <w:t xml:space="preserve">только в установленных остановочных пунктах</w:t>
            </w:r>
            <w:r>
              <w:rPr>
                <w:highlight w:val="white"/>
                <w:shd w:val="clear" w:color="auto" w:fill="ffffff"/>
              </w:rPr>
            </w:r>
            <w:r>
              <w:rPr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5" w:type="dxa"/>
            <w:textDirection w:val="lrTb"/>
            <w:noWrap w:val="false"/>
          </w:tcPr>
          <w:p>
            <w:pPr>
              <w:pStyle w:val="817"/>
              <w:jc w:val="left"/>
              <w:rPr>
                <w:highlight w:val="white"/>
                <w:shd w:val="clear" w:color="auto" w:fill="ffffff"/>
              </w:rPr>
            </w:pPr>
            <w:r>
              <w:rPr>
                <w:highlight w:val="white"/>
                <w:shd w:val="clear" w:color="auto" w:fill="ffffff"/>
              </w:rPr>
              <w:t xml:space="preserve">По улицам: Старцева, Холмогорской, Ижевской, Усольской, Героев Хасана, Комсомольскому проспекту, Пушкина, шоссе Космонавтов, Стахановской, Карпинского, Архитектора Свиязева, Космонавта Леонова, Геологов, Композитора Глинки</w:t>
            </w:r>
            <w:r>
              <w:rPr>
                <w:highlight w:val="white"/>
                <w:shd w:val="clear" w:color="auto" w:fill="ffffff"/>
                <w:vertAlign w:val="superscript"/>
              </w:rPr>
              <w:t xml:space="preserve">13</w:t>
            </w:r>
            <w:r>
              <w:rPr>
                <w:highlight w:val="white"/>
                <w:shd w:val="clear" w:color="auto" w:fill="ffffff"/>
              </w:rPr>
              <w:t xml:space="preserve">, Архитектора Свиязева</w:t>
            </w:r>
            <w:r>
              <w:rPr>
                <w:highlight w:val="white"/>
                <w:shd w:val="clear" w:color="auto" w:fill="ffffff"/>
                <w:vertAlign w:val="superscript"/>
              </w:rPr>
              <w:t xml:space="preserve">13</w:t>
            </w:r>
            <w:r>
              <w:rPr>
                <w:highlight w:val="white"/>
                <w:shd w:val="clear" w:color="auto" w:fill="ffffff"/>
              </w:rPr>
              <w:t xml:space="preserve">, Космонавта Леонова</w:t>
            </w:r>
            <w:r>
              <w:rPr>
                <w:highlight w:val="white"/>
                <w:shd w:val="clear" w:color="auto" w:fill="ffffff"/>
                <w:vertAlign w:val="superscript"/>
              </w:rPr>
              <w:t xml:space="preserve">13</w:t>
            </w:r>
            <w:r>
              <w:rPr>
                <w:highlight w:val="white"/>
                <w:shd w:val="clear" w:color="auto" w:fill="ffffff"/>
              </w:rPr>
              <w:t xml:space="preserve">;</w:t>
            </w:r>
            <w:r>
              <w:rPr>
                <w:highlight w:val="white"/>
                <w:shd w:val="clear" w:color="auto" w:fill="ffffff"/>
              </w:rPr>
            </w:r>
            <w:r>
              <w:rPr>
                <w:highlight w:val="white"/>
                <w:shd w:val="clear" w:color="auto" w:fill="ffffff"/>
              </w:rPr>
            </w:r>
          </w:p>
          <w:p>
            <w:pPr>
              <w:pStyle w:val="817"/>
              <w:jc w:val="left"/>
              <w:rPr>
                <w:highlight w:val="white"/>
                <w:shd w:val="clear" w:color="auto" w:fill="ffffff"/>
              </w:rPr>
            </w:pPr>
            <w:r>
              <w:rPr>
                <w:highlight w:val="white"/>
                <w:shd w:val="clear" w:color="auto" w:fill="ffffff"/>
              </w:rPr>
              <w:t xml:space="preserve">с остановочными пунктами: микрорайон Юбилейный, улица Холмогорская, улица 2-я Холмогорская, Автопарк, улица Усольская, ТЭЦ-6, Технологический институт, улица Чкалова, улица Соловьева, К</w:t>
            </w:r>
            <w:r>
              <w:rPr>
                <w:highlight w:val="white"/>
                <w:shd w:val="clear" w:color="auto" w:fill="ffffff"/>
              </w:rPr>
              <w:t xml:space="preserve">омсомольская площадь, кинотеатр «Кристалл», кинотеатр «Октябрь», стадион «Динамо», Автовокзал (по шоссе Космонавтов, первая посадочная площадка от улицы Попова), улица Мильчакова, улица Блюхера, манеж «Спартак», Печатная фабрика «Гознак» (в районе дома № 1</w:t>
            </w:r>
            <w:r>
              <w:rPr>
                <w:highlight w:val="white"/>
                <w:shd w:val="clear" w:color="auto" w:fill="ffffff"/>
              </w:rPr>
              <w:t xml:space="preserve">15 по шоссе Космонавтов), ул</w:t>
            </w:r>
            <w:r>
              <w:rPr>
                <w:highlight w:val="white"/>
                <w:shd w:val="clear" w:color="auto" w:fill="ffffff"/>
              </w:rPr>
              <w:t xml:space="preserve">ица Баумана, улица Снайперов, улица Стахановская, улица Сивкова, проспект Декабристов, микрорайон Ераничи, Школа № 3, Авиагородок, Роща, по требованию (улица Свиязева), Лицей № 3, микрорайон Нагорный, улица Геологов, Школа № 136, улица Архитектора Свиязева</w:t>
            </w:r>
            <w:r>
              <w:rPr>
                <w:highlight w:val="white"/>
                <w:shd w:val="clear" w:color="auto" w:fill="ffffff"/>
                <w:vertAlign w:val="superscript"/>
              </w:rPr>
              <w:t xml:space="preserve">13</w:t>
            </w:r>
            <w:r>
              <w:rPr>
                <w:highlight w:val="white"/>
                <w:shd w:val="clear" w:color="auto" w:fill="ffffff"/>
              </w:rPr>
              <w:t xml:space="preserve">, Андроновский пруды</w:t>
            </w:r>
            <w:r>
              <w:rPr>
                <w:highlight w:val="white"/>
                <w:shd w:val="clear" w:color="auto" w:fill="ffffff"/>
                <w:vertAlign w:val="superscript"/>
              </w:rPr>
              <w:t xml:space="preserve">13</w:t>
            </w:r>
            <w:r>
              <w:rPr>
                <w:highlight w:val="white"/>
                <w:shd w:val="clear" w:color="auto" w:fill="ffffff"/>
              </w:rPr>
              <w:t xml:space="preserve">, микрорайон Нагорный (по улице Космонавта Леонова)</w:t>
            </w:r>
            <w:r>
              <w:rPr>
                <w:highlight w:val="white"/>
                <w:shd w:val="clear" w:color="auto" w:fill="ffffff"/>
                <w:vertAlign w:val="superscript"/>
              </w:rPr>
              <w:t xml:space="preserve">13</w:t>
            </w:r>
            <w:r>
              <w:rPr>
                <w:highlight w:val="white"/>
                <w:shd w:val="clear" w:color="auto" w:fill="ffffff"/>
                <w:vertAlign w:val="baseline"/>
              </w:rPr>
              <w:t xml:space="preserve">, Инфекционная больница</w:t>
            </w:r>
            <w:r>
              <w:rPr>
                <w:highlight w:val="white"/>
                <w:shd w:val="clear" w:color="auto" w:fill="ffffff"/>
                <w:vertAlign w:val="superscript"/>
              </w:rPr>
              <w:t xml:space="preserve">13</w:t>
            </w:r>
            <w:r>
              <w:rPr>
                <w:highlight w:val="white"/>
                <w:shd w:val="clear" w:color="auto" w:fill="ffffff"/>
              </w:rPr>
            </w:r>
            <w:r>
              <w:rPr>
                <w:highlight w:val="whit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6" w:type="dxa"/>
            <w:textDirection w:val="lrTb"/>
            <w:noWrap w:val="false"/>
          </w:tcPr>
          <w:p>
            <w:pPr>
              <w:pStyle w:val="817"/>
              <w:jc w:val="left"/>
              <w:rPr>
                <w:highlight w:val="white"/>
                <w:shd w:val="clear" w:color="auto" w:fill="ffffff"/>
              </w:rPr>
            </w:pPr>
            <w:r>
              <w:rPr>
                <w:highlight w:val="white"/>
                <w:shd w:val="clear" w:color="auto" w:fill="ffffff"/>
              </w:rPr>
              <w:t xml:space="preserve">по улицам:</w:t>
            </w:r>
            <w:r>
              <w:rPr>
                <w:highlight w:val="white"/>
                <w:shd w:val="clear" w:color="auto" w:fill="ffffff"/>
                <w:vertAlign w:val="baseline"/>
              </w:rPr>
              <w:t xml:space="preserve">  </w:t>
            </w:r>
            <w:r>
              <w:rPr>
                <w:highlight w:val="white"/>
                <w:shd w:val="clear" w:color="auto" w:fill="ffffff"/>
                <w:vertAlign w:val="baseline"/>
              </w:rPr>
              <w:t xml:space="preserve">Геологов</w:t>
            </w:r>
            <w:r>
              <w:rPr>
                <w:highlight w:val="white"/>
                <w:shd w:val="clear" w:color="auto" w:fill="ffffff"/>
              </w:rPr>
              <w:t xml:space="preserve">, Композитора Глинки, </w:t>
            </w:r>
            <w:r>
              <w:rPr>
                <w:highlight w:val="white"/>
                <w:shd w:val="clear" w:color="auto" w:fill="ffffff"/>
              </w:rPr>
              <w:t xml:space="preserve">Космонавта Леонова</w:t>
            </w:r>
            <w:r>
              <w:rPr>
                <w:highlight w:val="white"/>
                <w:shd w:val="clear" w:color="auto" w:fill="ffffff"/>
                <w:vertAlign w:val="superscript"/>
              </w:rPr>
              <w:t xml:space="preserve">13</w:t>
            </w:r>
            <w:r>
              <w:rPr>
                <w:highlight w:val="white"/>
                <w:shd w:val="clear" w:color="auto" w:fill="ffffff"/>
              </w:rPr>
              <w:t xml:space="preserve">, Западному </w:t>
            </w:r>
            <w:r>
              <w:rPr>
                <w:highlight w:val="white"/>
                <w:shd w:val="clear" w:color="auto" w:fill="ffffff"/>
                <w:vertAlign w:val="baseline"/>
              </w:rPr>
              <w:t xml:space="preserve">обходу</w:t>
            </w:r>
            <w:r>
              <w:rPr>
                <w:highlight w:val="white"/>
                <w:shd w:val="clear" w:color="auto" w:fill="ffffff"/>
                <w:vertAlign w:val="superscript"/>
              </w:rPr>
              <w:t xml:space="preserve">13</w:t>
            </w:r>
            <w:r>
              <w:rPr>
                <w:highlight w:val="white"/>
                <w:shd w:val="clear" w:color="auto" w:fill="ffffff"/>
                <w:vertAlign w:val="baseline"/>
              </w:rPr>
              <w:t xml:space="preserve">, Южному обходу</w:t>
            </w:r>
            <w:r>
              <w:rPr>
                <w:highlight w:val="white"/>
                <w:shd w:val="clear" w:color="auto" w:fill="ffffff"/>
                <w:vertAlign w:val="superscript"/>
              </w:rPr>
              <w:t xml:space="preserve">13</w:t>
            </w:r>
            <w:r>
              <w:rPr>
                <w:highlight w:val="white"/>
                <w:shd w:val="clear" w:color="auto" w:fill="ffffff"/>
                <w:vertAlign w:val="baseline"/>
              </w:rPr>
              <w:t xml:space="preserve">, Космонавта Леонова</w:t>
            </w:r>
            <w:r>
              <w:rPr>
                <w:highlight w:val="white"/>
                <w:shd w:val="clear" w:color="auto" w:fill="ffffff"/>
                <w:vertAlign w:val="superscript"/>
              </w:rPr>
              <w:t xml:space="preserve">13</w:t>
            </w:r>
            <w:r>
              <w:rPr>
                <w:highlight w:val="white"/>
                <w:shd w:val="clear" w:color="auto" w:fill="ffffff"/>
                <w:vertAlign w:val="baseline"/>
              </w:rPr>
              <w:t xml:space="preserve">, </w:t>
            </w:r>
            <w:r>
              <w:rPr>
                <w:highlight w:val="white"/>
                <w:shd w:val="clear" w:color="auto" w:fill="ffffff"/>
              </w:rPr>
              <w:t xml:space="preserve">Архитектора Свиязева, Карпинского, Стахановской, шоссе Космонавтов, Пушкина, Комсомольскому проспекту, Героев Хасана, Ижевской, Полазненской, Ижевской, Холмогорской, Запорожской, Суздальской, Старцева;</w:t>
            </w:r>
            <w:r>
              <w:rPr>
                <w:highlight w:val="white"/>
                <w:shd w:val="clear" w:color="auto" w:fill="ffffff"/>
              </w:rPr>
            </w:r>
            <w:r>
              <w:rPr>
                <w:highlight w:val="white"/>
                <w:shd w:val="clear" w:color="auto" w:fill="ffffff"/>
              </w:rPr>
            </w:r>
          </w:p>
          <w:p>
            <w:pPr>
              <w:pStyle w:val="817"/>
              <w:jc w:val="left"/>
              <w:rPr>
                <w:highlight w:val="white"/>
              </w:rPr>
            </w:pPr>
            <w:r>
              <w:rPr>
                <w:highlight w:val="white"/>
                <w:shd w:val="clear" w:color="auto" w:fill="ffffff"/>
              </w:rPr>
              <w:t xml:space="preserve">с ос</w:t>
            </w:r>
            <w:r>
              <w:rPr>
                <w:highlight w:val="white"/>
                <w:shd w:val="clear" w:color="auto" w:fill="ffffff"/>
              </w:rPr>
              <w:t xml:space="preserve">тановочными пунктами:  Школа № 136, улица Архитектора Свиязева, Андроновские пруды, Инфекционная больница</w:t>
            </w:r>
            <w:r>
              <w:rPr>
                <w:highlight w:val="white"/>
                <w:shd w:val="clear" w:color="auto" w:fill="ffffff"/>
                <w:vertAlign w:val="superscript"/>
              </w:rPr>
              <w:t xml:space="preserve">13</w:t>
            </w:r>
            <w:r>
              <w:rPr>
                <w:highlight w:val="white"/>
                <w:shd w:val="clear" w:color="auto" w:fill="ffffff"/>
              </w:rPr>
              <w:t xml:space="preserve">, микрорайон Нагорный (по улице Архитектора Свиязева), Лицей № 3, по требованию (улица Свиязева), Роща, Авиагородок, Школа № 3 (по улице Карпинского за перекрестком с улицей </w:t>
            </w:r>
            <w:r>
              <w:rPr>
                <w:highlight w:val="white"/>
                <w:shd w:val="clear" w:color="auto" w:fill="ffffff"/>
              </w:rPr>
              <w:t xml:space="preserve">Советской Армии), микрорайон Ераничи, проспект Декабристов, улица Сивкова, улица Стахановская, улица Снайперов, улица Баумана, улица Блюхера, улица Мильчакова, Автовокзал (первая посадочная площадка от улицы Революции), улица Куйбышева (по улице Пушкина), </w:t>
            </w:r>
            <w:r>
              <w:rPr>
                <w:highlight w:val="white"/>
                <w:shd w:val="clear" w:color="auto" w:fill="ffffff"/>
              </w:rPr>
              <w:t xml:space="preserve">центр «Муравейник», ки</w:t>
            </w:r>
            <w:r>
              <w:rPr>
                <w:highlight w:val="white"/>
                <w:shd w:val="clear" w:color="auto" w:fill="ffffff"/>
              </w:rPr>
              <w:t xml:space="preserve">нотеатр «Октябрь», кинотеатр «Октябрь», кинотеатр «Кристалл», улица Героев Хасана, улица Соловьева, улица Чкалова, Технологический институт, Автостанция «Южная», улица Усольская, Автопарк, улица 2-я Холмогорская, улица 2-я Запорожская, микрорайон Юбилейный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955"/>
        <w:ind w:left="0" w:right="0" w:firstLine="720"/>
        <w:jc w:val="both"/>
        <w:rPr>
          <w:rFonts w:ascii="Times New Roman" w:hAnsi="Times New Roman" w:cs="Times New Roman"/>
          <w:b w:val="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1.5.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 графе 5 строки 58 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после слов 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«улица Жигулевская,» 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дополнить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 словами «Грибоедовский,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»;</w:t>
      </w:r>
      <w:r>
        <w:rPr>
          <w:rFonts w:ascii="Times New Roman" w:hAnsi="Times New Roman" w:cs="Times New Roman"/>
          <w:b w:val="0"/>
          <w:highlight w:val="white"/>
        </w:rPr>
      </w:r>
      <w:r>
        <w:rPr>
          <w:rFonts w:ascii="Times New Roman" w:hAnsi="Times New Roman" w:cs="Times New Roman"/>
          <w:b w:val="0"/>
          <w:highlight w:val="white"/>
        </w:rPr>
      </w:r>
    </w:p>
    <w:p>
      <w:pPr>
        <w:pStyle w:val="955"/>
        <w:ind w:left="0" w:right="0" w:firstLine="720"/>
        <w:jc w:val="both"/>
        <w:rPr>
          <w:rFonts w:ascii="Times New Roman" w:hAnsi="Times New Roman" w:cs="Times New Roman"/>
          <w:b w:val="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1.6. в 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графе 6 строки 66 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после слов 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«Школа № 135,» 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дополнить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 словами «Грибоедовский,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»;</w:t>
      </w:r>
      <w:r>
        <w:rPr>
          <w:rFonts w:ascii="Times New Roman" w:hAnsi="Times New Roman" w:cs="Times New Roman"/>
          <w:b w:val="0"/>
          <w:highlight w:val="white"/>
        </w:rPr>
      </w:r>
      <w:r>
        <w:rPr>
          <w:rFonts w:ascii="Times New Roman" w:hAnsi="Times New Roman" w:cs="Times New Roman"/>
          <w:b w:val="0"/>
          <w:highlight w:val="white"/>
        </w:rPr>
      </w:r>
    </w:p>
    <w:p>
      <w:pPr>
        <w:pStyle w:val="955"/>
        <w:ind w:left="0" w:right="0" w:firstLine="709"/>
        <w:jc w:val="both"/>
        <w:rPr>
          <w:rFonts w:ascii="Times New Roman" w:hAnsi="Times New Roman" w:cs="Times New Roman"/>
          <w:b w:val="0"/>
          <w:bCs w:val="0"/>
          <w:highlight w:val="none"/>
        </w:rPr>
      </w:pPr>
      <w:r>
        <w:rPr>
          <w:rFonts w:ascii="Times New Roman" w:hAnsi="Times New Roman" w:cs="Times New Roman"/>
          <w:b w:val="0"/>
          <w:sz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1.7.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Сно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ску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«13 Для рейса до улицы Мотовилихинской» заменить словами «13 Для рейса до Инфекционной больницы».</w:t>
      </w:r>
      <w:r>
        <w:rPr>
          <w:rFonts w:ascii="Times New Roman" w:hAnsi="Times New Roman" w:cs="Times New Roman"/>
          <w:b w:val="0"/>
          <w:bCs w:val="0"/>
          <w:highlight w:val="none"/>
        </w:rPr>
      </w:r>
      <w:r>
        <w:rPr>
          <w:rFonts w:ascii="Times New Roman" w:hAnsi="Times New Roman" w:cs="Times New Roman"/>
          <w:b w:val="0"/>
          <w:bCs w:val="0"/>
          <w:highlight w:val="none"/>
        </w:rPr>
      </w:r>
    </w:p>
    <w:p>
      <w:pPr>
        <w:pStyle w:val="955"/>
        <w:ind w:left="0" w:right="0" w:firstLine="72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</w:rPr>
        <w:t xml:space="preserve">2. В разделе 2 </w:t>
      </w:r>
      <w:r>
        <w:rPr>
          <w:rFonts w:ascii="Times New Roman" w:hAnsi="Times New Roman" w:cs="Times New Roman"/>
          <w:b w:val="0"/>
          <w:sz w:val="28"/>
        </w:rPr>
        <w:t xml:space="preserve">в подразделе «Муниципальные маршруты регулярных перевозок автомобильным транспортом по регулируемым тарифам»:</w:t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55"/>
        <w:ind w:left="0" w:right="0" w:firstLine="72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</w:rPr>
        <w:t xml:space="preserve">2.1. строку 12 </w:t>
      </w:r>
      <w:r>
        <w:rPr>
          <w:rFonts w:ascii="Times New Roman" w:hAnsi="Times New Roman" w:cs="Times New Roman"/>
          <w:b w:val="0"/>
          <w:sz w:val="28"/>
        </w:rPr>
        <w:t xml:space="preserve">изложить в следующей редакции:</w:t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tbl>
      <w:tblPr>
        <w:tblStyle w:val="96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25"/>
        <w:gridCol w:w="2041"/>
        <w:gridCol w:w="1212"/>
        <w:gridCol w:w="1134"/>
        <w:gridCol w:w="709"/>
        <w:gridCol w:w="850"/>
        <w:gridCol w:w="1276"/>
        <w:gridCol w:w="850"/>
        <w:gridCol w:w="850"/>
        <w:gridCol w:w="850"/>
        <w:gridCol w:w="850"/>
        <w:gridCol w:w="850"/>
        <w:gridCol w:w="226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0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Песьянка - Планета – микрорайон Садовый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06-00/06-00/06-00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22-00/22-00/22-00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0,7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М3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большой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4,0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постоянный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</w:tbl>
    <w:p>
      <w:pPr>
        <w:pStyle w:val="955"/>
        <w:ind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3. Раздел 3 изложить в следующей редакции: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20"/>
        <w:ind w:left="0" w:right="0" w:firstLine="0"/>
        <w:jc w:val="center"/>
        <w:spacing w:befor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32"/>
        </w:rPr>
        <w:t xml:space="preserve">Раздел 3. Мероприятия по развитию регулярных перевозок</w:t>
      </w:r>
      <w:r>
        <w:rPr>
          <w:rFonts w:ascii="Times New Roman" w:hAnsi="Times New Roman" w:eastAsia="Times New Roman" w:cs="Times New Roman"/>
          <w:color w:val="000000"/>
          <w:sz w:val="24"/>
        </w:rPr>
        <w:br/>
      </w:r>
      <w:r>
        <w:rPr>
          <w:rFonts w:ascii="Times New Roman" w:hAnsi="Times New Roman" w:eastAsia="Times New Roman" w:cs="Times New Roman"/>
          <w:sz w:val="24"/>
        </w:rPr>
      </w:r>
      <w:r/>
    </w:p>
    <w:tbl>
      <w:tblPr>
        <w:tblStyle w:val="96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309"/>
        <w:gridCol w:w="3744"/>
        <w:gridCol w:w="508"/>
        <w:gridCol w:w="3603"/>
        <w:gridCol w:w="425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44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67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№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309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Наименование мероприятия по развитию регулярных перевозок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744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Содержание мероприятия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Срок выполнения запланированного мероприятия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Ответственный исполнитель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67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1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309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2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744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3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4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5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67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1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309" w:type="dxa"/>
            <w:vAlign w:val="top"/>
            <w:textDirection w:val="lrTb"/>
            <w:noWrap w:val="false"/>
          </w:tcPr>
          <w:p>
            <w:pPr>
              <w:jc w:val="left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Изменение муниципального маршрута регулярных перевозок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744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в целях повышения качества транспортного обслуживания жителей города Перми требуется внесение изменений в организацию маршрутов регулярных перевозок города Перми: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департамент транспорта администрации города Перми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67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309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744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для улучшения транспортного обслуживания жителей требуется изменение пути следования муниципального маршрута регулярных перевозок автомобильным транспортом по регулируемым тарифам № 22 сообщением «Микрорайон Васильевка - Пермский военный институт», а именн</w:t>
            </w:r>
            <w:r>
              <w:t xml:space="preserve">о организовать движение через остановочный пункт «Банная гора» по улице 2-й Корсуньской. Планируемый результат: создание новой транспортной связи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</w:pPr>
            <w:r>
              <w:t xml:space="preserve">2025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67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309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744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после завершения работ по строительству автомобильной дороги по улице Строителей и обустройству остановочных пунктов требуется изменение пути следования муниципального маршрута регулярных перевозок автомобильным транспортом по регулируемым тарифам № 64 «Де</w:t>
            </w:r>
            <w:r>
              <w:t xml:space="preserve">тский дом культуры имени Кирова - станция Пермь-II», а именно организация движения по улицам Строителей, Желябова. Планируемый результат: организация движения муниципального маршрута по улице Строителей и обеспечение транспортной доступности объектов на пр</w:t>
            </w:r>
            <w:r>
              <w:t xml:space="preserve">илегающей территории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67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309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744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после завершения работ по строительству автомобильной дороги по улицам Крисанова, Карпинского и обустройству остановочных пунктов требуется изменение пути следования муниципального маршрута регулярных перевозок автомобильным транспортом по регулируемым тар</w:t>
            </w:r>
            <w:r>
              <w:t xml:space="preserve">ифам № 74 «Микрорайон Владимирский - микрорайон Заостровка», а именно организация движения по улицам Крисанова, Карпинского, Стахановской, Чкалова. Планируемый результат: организация движения муниципального маршрута по улице Крисанова и обеспечение транспо</w:t>
            </w:r>
            <w:r>
              <w:t xml:space="preserve">ртной доступности объектов на прилегающей территории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67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309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744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после завершения производства работ по обустройству остановочных пунктов по улицам Карла Модераха и Василия Татищева требуется организация движения муниципального маршрута регулярных перевозок автомобильным транспортом по регулируемым тарифам до микрорайон</w:t>
            </w:r>
            <w:r>
              <w:t xml:space="preserve">а Красные Казармы. Планируемый результат: создание транспортной связи и обеспечение транспортной доступности для жителей микрорайона Красные Казармы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2026 год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67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309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744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после завершения работ по обустройству остановочных пунктов на Бродовском тракте и автодороге Пермь - Жебреи, в частности остановочного пункта с проектным названием «Полигон» (в оба направления), а также места для осуществления разворота и отстоя автобусов</w:t>
            </w:r>
            <w:r>
              <w:t xml:space="preserve">, требуется изменение </w:t>
            </w:r>
            <w:r>
              <w:t xml:space="preserve">пути следования муниципального маршрута регулярных перевозок автомобильным транспортом по регулируемым тарифам № 5 «Микрорайон Ново-Бродовский – микрорайон Голый Мыс - Комсомольская площадь», а именно продление до полигона ТБО. Планируемый результат: созда</w:t>
            </w:r>
            <w:r>
              <w:t xml:space="preserve">ние новой транспортной связи и обеспечение транспортной доступности жителей прилегающих территорий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2026 год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67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3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309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Привлечение юридических лиц и индивидуальных предпринимателей к транспортному обслуживанию населения путем заключения муниципальных контрактов с юридическими лицами и индивидуальными предпринимателями для обслуживания муниципальных маршрутов регулярных пер</w:t>
            </w:r>
            <w:r>
              <w:t xml:space="preserve">евозок по регулируемым тарифам в порядке, установленном законодательством в сфере закупок товаров, работ, услуг для обеспечения государственных и муниципальных нужд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744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в целях обеспечения транспортного обеспечения жителей города Перми требуется проведение конкурсных процедур по определению перевозчиков для обслуживания муниципальных маршрутов регулярных перевозок, планируемый результат: заключение муниципальных контракто</w:t>
            </w:r>
            <w:r>
              <w:t xml:space="preserve">в на оказание услуг по обслуживанию муниципальных маршрутов регулярных перевозок города Перми по регулируемым тарифам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2024-2025 год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департамент транспорта администрации города Перми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</w:tbl>
    <w:p>
      <w:pPr>
        <w:pStyle w:val="955"/>
        <w:ind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55"/>
        <w:ind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В разделе 5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подразделе «Муниципальные маршруты регулярных перевозок автомобильным транспортом по регулируемым тарифам»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55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4.1. строку 12 изложить в следующей редакции: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541"/>
        <w:gridCol w:w="2008"/>
        <w:gridCol w:w="6241"/>
        <w:gridCol w:w="2552"/>
        <w:gridCol w:w="3511"/>
      </w:tblGrid>
      <w:tr>
        <w:tblPrEx/>
        <w:trPr/>
        <w:tc>
          <w:tcPr>
            <w:tcW w:w="182" w:type="pct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676" w:type="pct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2101" w:type="pct"/>
            <w:textDirection w:val="lrTb"/>
            <w:noWrap w:val="false"/>
          </w:tcPr>
          <w:p>
            <w:pPr>
              <w:pStyle w:val="902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Песьянка - Планета – микрорайон Садовый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859" w:type="pct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01 апреля 202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182" w:type="pct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5 лет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</w:tc>
      </w:tr>
    </w:tbl>
    <w:p>
      <w:pPr>
        <w:pStyle w:val="955"/>
        <w:ind w:firstLine="720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955"/>
        <w:ind w:left="0" w:right="0" w:firstLine="70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sectPr>
      <w:headerReference w:type="default" r:id="rId11"/>
      <w:headerReference w:type="first" r:id="rId12"/>
      <w:footerReference w:type="default" r:id="rId14"/>
      <w:footerReference w:type="first" r:id="rId15"/>
      <w:footnotePr/>
      <w:endnotePr/>
      <w:type w:val="nextPage"/>
      <w:pgSz w:w="16838" w:h="11906" w:orient="landscape"/>
      <w:pgMar w:top="1134" w:right="567" w:bottom="1162" w:left="1417" w:header="363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3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83"/>
                            <w:rPr>
                              <w:rStyle w:val="850"/>
                            </w:rPr>
                          </w:pPr>
                          <w:r>
                            <w:rPr>
                              <w:rStyle w:val="85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0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5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0"/>
                            </w:rPr>
                          </w:r>
                          <w:r>
                            <w:rPr>
                              <w:rStyle w:val="850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2;o:allowoverlap:true;o:allowincell:fals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83"/>
                      <w:rPr>
                        <w:rStyle w:val="850"/>
                      </w:rPr>
                    </w:pPr>
                    <w:r>
                      <w:rPr>
                        <w:rStyle w:val="850"/>
                        <w:color w:val="000000"/>
                      </w:rPr>
                      <w:fldChar w:fldCharType="begin"/>
                    </w:r>
                    <w:r>
                      <w:rPr>
                        <w:rStyle w:val="85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0"/>
                        <w:color w:val="000000"/>
                      </w:rPr>
                      <w:fldChar w:fldCharType="separate"/>
                    </w:r>
                    <w:r>
                      <w:rPr>
                        <w:rStyle w:val="850"/>
                        <w:color w:val="000000"/>
                      </w:rPr>
                      <w:t xml:space="preserve">0</w:t>
                    </w:r>
                    <w:r>
                      <w:rPr>
                        <w:rStyle w:val="850"/>
                        <w:color w:val="000000"/>
                      </w:rPr>
                      <w:fldChar w:fldCharType="end"/>
                    </w:r>
                    <w:r>
                      <w:rPr>
                        <w:rStyle w:val="850"/>
                      </w:rPr>
                    </w:r>
                    <w:r>
                      <w:rPr>
                        <w:rStyle w:val="85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7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818">
    <w:name w:val="Heading 1"/>
    <w:basedOn w:val="817"/>
    <w:qFormat/>
    <w:pPr>
      <w:ind w:right="-1" w:firstLine="709"/>
      <w:jc w:val="both"/>
      <w:keepNext/>
      <w:outlineLvl w:val="0"/>
    </w:pPr>
    <w:rPr>
      <w:sz w:val="24"/>
    </w:rPr>
  </w:style>
  <w:style w:type="paragraph" w:styleId="819">
    <w:name w:val="Heading 2"/>
    <w:basedOn w:val="817"/>
    <w:qFormat/>
    <w:pPr>
      <w:ind w:right="-1"/>
      <w:jc w:val="both"/>
      <w:keepNext/>
      <w:outlineLvl w:val="1"/>
    </w:pPr>
    <w:rPr>
      <w:sz w:val="24"/>
    </w:rPr>
  </w:style>
  <w:style w:type="paragraph" w:styleId="820">
    <w:name w:val="Heading 3"/>
    <w:basedOn w:val="8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21">
    <w:name w:val="Heading 4"/>
    <w:basedOn w:val="8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22">
    <w:name w:val="Heading 5"/>
    <w:basedOn w:val="8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3">
    <w:name w:val="Heading 6"/>
    <w:basedOn w:val="8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24">
    <w:name w:val="Heading 7"/>
    <w:basedOn w:val="8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25">
    <w:name w:val="Heading 8"/>
    <w:basedOn w:val="8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26">
    <w:name w:val="Heading 9"/>
    <w:basedOn w:val="8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7">
    <w:name w:val="Heading 1 Char"/>
    <w:basedOn w:val="849"/>
    <w:uiPriority w:val="9"/>
    <w:qFormat/>
    <w:rPr>
      <w:rFonts w:ascii="Arial" w:hAnsi="Arial" w:eastAsia="Arial" w:cs="Arial"/>
      <w:sz w:val="40"/>
      <w:szCs w:val="40"/>
    </w:rPr>
  </w:style>
  <w:style w:type="character" w:styleId="828">
    <w:name w:val="Heading 2 Char"/>
    <w:basedOn w:val="849"/>
    <w:uiPriority w:val="9"/>
    <w:qFormat/>
    <w:rPr>
      <w:rFonts w:ascii="Arial" w:hAnsi="Arial" w:eastAsia="Arial" w:cs="Arial"/>
      <w:sz w:val="34"/>
    </w:rPr>
  </w:style>
  <w:style w:type="character" w:styleId="829">
    <w:name w:val="Heading 3 Char"/>
    <w:basedOn w:val="849"/>
    <w:uiPriority w:val="9"/>
    <w:qFormat/>
    <w:rPr>
      <w:rFonts w:ascii="Arial" w:hAnsi="Arial" w:eastAsia="Arial" w:cs="Arial"/>
      <w:sz w:val="30"/>
      <w:szCs w:val="30"/>
    </w:rPr>
  </w:style>
  <w:style w:type="character" w:styleId="830">
    <w:name w:val="Heading 4 Char"/>
    <w:basedOn w:val="84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31">
    <w:name w:val="Heading 5 Char"/>
    <w:basedOn w:val="84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32">
    <w:name w:val="Heading 6 Char"/>
    <w:basedOn w:val="84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33">
    <w:name w:val="Heading 7 Char"/>
    <w:basedOn w:val="84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34">
    <w:name w:val="Heading 8 Char"/>
    <w:basedOn w:val="84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35">
    <w:name w:val="Heading 9 Char"/>
    <w:basedOn w:val="84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36">
    <w:name w:val="Title Char"/>
    <w:basedOn w:val="849"/>
    <w:uiPriority w:val="10"/>
    <w:qFormat/>
    <w:rPr>
      <w:sz w:val="48"/>
      <w:szCs w:val="48"/>
    </w:rPr>
  </w:style>
  <w:style w:type="character" w:styleId="837">
    <w:name w:val="Subtitle Char"/>
    <w:basedOn w:val="849"/>
    <w:uiPriority w:val="11"/>
    <w:qFormat/>
    <w:rPr>
      <w:sz w:val="24"/>
      <w:szCs w:val="24"/>
    </w:rPr>
  </w:style>
  <w:style w:type="character" w:styleId="838">
    <w:name w:val="Quote Char"/>
    <w:uiPriority w:val="29"/>
    <w:qFormat/>
    <w:rPr>
      <w:i/>
    </w:rPr>
  </w:style>
  <w:style w:type="character" w:styleId="839">
    <w:name w:val="Intense Quote Char"/>
    <w:uiPriority w:val="30"/>
    <w:qFormat/>
    <w:rPr>
      <w:i/>
    </w:rPr>
  </w:style>
  <w:style w:type="character" w:styleId="840">
    <w:name w:val="Header Char"/>
    <w:basedOn w:val="849"/>
    <w:uiPriority w:val="99"/>
    <w:qFormat/>
  </w:style>
  <w:style w:type="character" w:styleId="841">
    <w:name w:val="Footer Char"/>
    <w:basedOn w:val="849"/>
    <w:uiPriority w:val="99"/>
    <w:qFormat/>
  </w:style>
  <w:style w:type="character" w:styleId="842">
    <w:name w:val="Caption Char"/>
    <w:uiPriority w:val="99"/>
    <w:qFormat/>
  </w:style>
  <w:style w:type="character" w:styleId="843">
    <w:name w:val="Footnote Text Char"/>
    <w:uiPriority w:val="99"/>
    <w:qFormat/>
    <w:rPr>
      <w:sz w:val="18"/>
    </w:rPr>
  </w:style>
  <w:style w:type="character" w:styleId="844">
    <w:name w:val="Символ сноски"/>
    <w:uiPriority w:val="99"/>
    <w:unhideWhenUsed/>
    <w:qFormat/>
    <w:rPr>
      <w:vertAlign w:val="superscript"/>
    </w:rPr>
  </w:style>
  <w:style w:type="character" w:styleId="845">
    <w:name w:val="footnote reference"/>
    <w:rPr>
      <w:vertAlign w:val="superscript"/>
    </w:rPr>
  </w:style>
  <w:style w:type="character" w:styleId="846">
    <w:name w:val="Endnote Text Char"/>
    <w:uiPriority w:val="99"/>
    <w:qFormat/>
    <w:rPr>
      <w:sz w:val="20"/>
    </w:rPr>
  </w:style>
  <w:style w:type="character" w:styleId="84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48">
    <w:name w:val="endnote reference"/>
    <w:rPr>
      <w:vertAlign w:val="superscript"/>
    </w:rPr>
  </w:style>
  <w:style w:type="character" w:styleId="849" w:default="1">
    <w:name w:val="Default Paragraph Font"/>
    <w:semiHidden/>
    <w:qFormat/>
  </w:style>
  <w:style w:type="character" w:styleId="850">
    <w:name w:val="page number"/>
    <w:basedOn w:val="849"/>
    <w:qFormat/>
  </w:style>
  <w:style w:type="character" w:styleId="851" w:customStyle="1">
    <w:name w:val="Текст выноски Знак"/>
    <w:uiPriority w:val="99"/>
    <w:qFormat/>
    <w:rPr>
      <w:rFonts w:ascii="Segoe UI" w:hAnsi="Segoe UI" w:cs="Segoe UI"/>
      <w:sz w:val="18"/>
      <w:szCs w:val="18"/>
    </w:rPr>
  </w:style>
  <w:style w:type="character" w:styleId="852" w:customStyle="1">
    <w:name w:val="Верхний колонтитул Знак"/>
    <w:uiPriority w:val="99"/>
    <w:qFormat/>
  </w:style>
  <w:style w:type="character" w:styleId="853">
    <w:name w:val="Hyperlink"/>
    <w:uiPriority w:val="99"/>
    <w:unhideWhenUsed/>
    <w:rPr>
      <w:color w:val="0000ff"/>
      <w:u w:val="single"/>
    </w:rPr>
  </w:style>
  <w:style w:type="character" w:styleId="854">
    <w:name w:val="FollowedHyperlink"/>
    <w:uiPriority w:val="99"/>
    <w:unhideWhenUsed/>
    <w:rPr>
      <w:color w:val="800080"/>
      <w:u w:val="single"/>
    </w:rPr>
  </w:style>
  <w:style w:type="character" w:styleId="855" w:customStyle="1">
    <w:name w:val="Основной текст Знак"/>
    <w:qFormat/>
    <w:rPr>
      <w:rFonts w:ascii="Courier New" w:hAnsi="Courier New"/>
      <w:sz w:val="26"/>
    </w:rPr>
  </w:style>
  <w:style w:type="character" w:styleId="856" w:customStyle="1">
    <w:name w:val="Нижний колонтитул Знак"/>
    <w:uiPriority w:val="99"/>
    <w:qFormat/>
  </w:style>
  <w:style w:type="paragraph" w:styleId="857">
    <w:name w:val="Заголовок"/>
    <w:basedOn w:val="817"/>
    <w:next w:val="858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58">
    <w:name w:val="Body Text"/>
    <w:basedOn w:val="817"/>
    <w:pPr>
      <w:ind w:right="3117"/>
    </w:pPr>
    <w:rPr>
      <w:rFonts w:ascii="Courier New" w:hAnsi="Courier New"/>
      <w:sz w:val="26"/>
    </w:rPr>
  </w:style>
  <w:style w:type="paragraph" w:styleId="859">
    <w:name w:val="List"/>
    <w:basedOn w:val="858"/>
    <w:rPr>
      <w:rFonts w:cs="Lohit Devanagari"/>
    </w:rPr>
  </w:style>
  <w:style w:type="paragraph" w:styleId="860">
    <w:name w:val="Caption"/>
    <w:basedOn w:val="81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61">
    <w:name w:val="Указатель"/>
    <w:basedOn w:val="817"/>
    <w:qFormat/>
    <w:pPr>
      <w:suppressLineNumbers/>
    </w:pPr>
    <w:rPr>
      <w:rFonts w:cs="Lohit Devanagari"/>
    </w:rPr>
  </w:style>
  <w:style w:type="paragraph" w:styleId="862">
    <w:name w:val="Title"/>
    <w:basedOn w:val="81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3">
    <w:name w:val="Subtitle"/>
    <w:basedOn w:val="817"/>
    <w:uiPriority w:val="11"/>
    <w:qFormat/>
    <w:pPr>
      <w:spacing w:before="200" w:after="200"/>
    </w:pPr>
    <w:rPr>
      <w:sz w:val="24"/>
      <w:szCs w:val="24"/>
    </w:rPr>
  </w:style>
  <w:style w:type="paragraph" w:styleId="864">
    <w:name w:val="Quote"/>
    <w:basedOn w:val="817"/>
    <w:uiPriority w:val="29"/>
    <w:qFormat/>
    <w:pPr>
      <w:ind w:left="720" w:right="720"/>
    </w:pPr>
    <w:rPr>
      <w:i/>
    </w:rPr>
  </w:style>
  <w:style w:type="paragraph" w:styleId="865">
    <w:name w:val="Intense Quote"/>
    <w:basedOn w:val="817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6">
    <w:name w:val="footnote text"/>
    <w:basedOn w:val="81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67">
    <w:name w:val="endnote text"/>
    <w:basedOn w:val="81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68">
    <w:name w:val="toc 1"/>
    <w:basedOn w:val="817"/>
    <w:uiPriority w:val="39"/>
    <w:unhideWhenUsed/>
    <w:pPr>
      <w:ind w:left="0" w:right="0" w:firstLine="0"/>
      <w:spacing w:before="0" w:after="57"/>
    </w:pPr>
  </w:style>
  <w:style w:type="paragraph" w:styleId="869">
    <w:name w:val="toc 2"/>
    <w:basedOn w:val="817"/>
    <w:uiPriority w:val="39"/>
    <w:unhideWhenUsed/>
    <w:pPr>
      <w:ind w:left="283" w:right="0" w:firstLine="0"/>
      <w:spacing w:before="0" w:after="57"/>
    </w:pPr>
  </w:style>
  <w:style w:type="paragraph" w:styleId="870">
    <w:name w:val="toc 3"/>
    <w:basedOn w:val="817"/>
    <w:uiPriority w:val="39"/>
    <w:unhideWhenUsed/>
    <w:pPr>
      <w:ind w:left="567" w:right="0" w:firstLine="0"/>
      <w:spacing w:before="0" w:after="57"/>
    </w:pPr>
  </w:style>
  <w:style w:type="paragraph" w:styleId="871">
    <w:name w:val="toc 4"/>
    <w:basedOn w:val="817"/>
    <w:uiPriority w:val="39"/>
    <w:unhideWhenUsed/>
    <w:pPr>
      <w:ind w:left="850" w:right="0" w:firstLine="0"/>
      <w:spacing w:before="0" w:after="57"/>
    </w:pPr>
  </w:style>
  <w:style w:type="paragraph" w:styleId="872">
    <w:name w:val="toc 5"/>
    <w:basedOn w:val="817"/>
    <w:uiPriority w:val="39"/>
    <w:unhideWhenUsed/>
    <w:pPr>
      <w:ind w:left="1134" w:right="0" w:firstLine="0"/>
      <w:spacing w:before="0" w:after="57"/>
    </w:pPr>
  </w:style>
  <w:style w:type="paragraph" w:styleId="873">
    <w:name w:val="toc 6"/>
    <w:basedOn w:val="817"/>
    <w:uiPriority w:val="39"/>
    <w:unhideWhenUsed/>
    <w:pPr>
      <w:ind w:left="1417" w:right="0" w:firstLine="0"/>
      <w:spacing w:before="0" w:after="57"/>
    </w:pPr>
  </w:style>
  <w:style w:type="paragraph" w:styleId="874">
    <w:name w:val="toc 7"/>
    <w:basedOn w:val="817"/>
    <w:uiPriority w:val="39"/>
    <w:unhideWhenUsed/>
    <w:pPr>
      <w:ind w:left="1701" w:right="0" w:firstLine="0"/>
      <w:spacing w:before="0" w:after="57"/>
    </w:pPr>
  </w:style>
  <w:style w:type="paragraph" w:styleId="875">
    <w:name w:val="toc 8"/>
    <w:basedOn w:val="817"/>
    <w:uiPriority w:val="39"/>
    <w:unhideWhenUsed/>
    <w:pPr>
      <w:ind w:left="1984" w:right="0" w:firstLine="0"/>
      <w:spacing w:before="0" w:after="57"/>
    </w:pPr>
  </w:style>
  <w:style w:type="paragraph" w:styleId="876">
    <w:name w:val="toc 9"/>
    <w:basedOn w:val="817"/>
    <w:uiPriority w:val="39"/>
    <w:unhideWhenUsed/>
    <w:pPr>
      <w:ind w:left="2268" w:right="0" w:firstLine="0"/>
      <w:spacing w:before="0" w:after="57"/>
    </w:pPr>
  </w:style>
  <w:style w:type="paragraph" w:styleId="877">
    <w:name w:val="Index Heading"/>
    <w:basedOn w:val="857"/>
  </w:style>
  <w:style w:type="paragraph" w:styleId="878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879">
    <w:name w:val="table of figures"/>
    <w:basedOn w:val="817"/>
    <w:uiPriority w:val="99"/>
    <w:unhideWhenUsed/>
    <w:pPr>
      <w:spacing w:before="0" w:after="0" w:afterAutospacing="0"/>
    </w:pPr>
  </w:style>
  <w:style w:type="paragraph" w:styleId="880">
    <w:name w:val="Body Text Indent"/>
    <w:basedOn w:val="817"/>
    <w:pPr>
      <w:ind w:right="-1"/>
      <w:jc w:val="both"/>
    </w:pPr>
    <w:rPr>
      <w:sz w:val="26"/>
    </w:rPr>
  </w:style>
  <w:style w:type="paragraph" w:styleId="881">
    <w:name w:val="Колонтитул"/>
    <w:basedOn w:val="817"/>
    <w:qFormat/>
  </w:style>
  <w:style w:type="paragraph" w:styleId="882">
    <w:name w:val="Footer"/>
    <w:basedOn w:val="817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883">
    <w:name w:val="Header"/>
    <w:basedOn w:val="817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884">
    <w:name w:val="Balloon Text"/>
    <w:basedOn w:val="817"/>
    <w:uiPriority w:val="99"/>
    <w:qFormat/>
    <w:rPr>
      <w:rFonts w:ascii="Segoe UI" w:hAnsi="Segoe UI" w:cs="Segoe UI"/>
      <w:sz w:val="18"/>
      <w:szCs w:val="18"/>
    </w:rPr>
  </w:style>
  <w:style w:type="paragraph" w:styleId="885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Lohit Devanagari"/>
      <w:color w:val="auto"/>
      <w:sz w:val="22"/>
      <w:szCs w:val="22"/>
      <w:lang w:val="ru-RU" w:eastAsia="en-US" w:bidi="ar-SA"/>
    </w:rPr>
  </w:style>
  <w:style w:type="paragraph" w:styleId="886" w:customStyle="1">
    <w:name w:val="xl65"/>
    <w:basedOn w:val="817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7" w:customStyle="1">
    <w:name w:val="xl66"/>
    <w:basedOn w:val="817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xl67"/>
    <w:basedOn w:val="817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9" w:customStyle="1">
    <w:name w:val="xl68"/>
    <w:basedOn w:val="817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0" w:customStyle="1">
    <w:name w:val="xl69"/>
    <w:basedOn w:val="817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70"/>
    <w:basedOn w:val="817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2" w:customStyle="1">
    <w:name w:val="xl71"/>
    <w:basedOn w:val="817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72"/>
    <w:basedOn w:val="817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3"/>
    <w:basedOn w:val="817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74"/>
    <w:basedOn w:val="817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5"/>
    <w:basedOn w:val="817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6"/>
    <w:basedOn w:val="817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7"/>
    <w:basedOn w:val="817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8"/>
    <w:basedOn w:val="817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9"/>
    <w:basedOn w:val="817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Форма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902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903" w:customStyle="1">
    <w:name w:val="font5"/>
    <w:basedOn w:val="817"/>
    <w:qFormat/>
    <w:pPr>
      <w:spacing w:beforeAutospacing="1" w:afterAutospacing="1"/>
    </w:pPr>
    <w:rPr>
      <w:color w:val="000000"/>
      <w:sz w:val="28"/>
      <w:szCs w:val="28"/>
    </w:rPr>
  </w:style>
  <w:style w:type="paragraph" w:styleId="904" w:customStyle="1">
    <w:name w:val="xl80"/>
    <w:basedOn w:val="817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5" w:customStyle="1">
    <w:name w:val="xl81"/>
    <w:basedOn w:val="817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06" w:customStyle="1">
    <w:name w:val="xl82"/>
    <w:basedOn w:val="817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07" w:customStyle="1">
    <w:name w:val="xl83"/>
    <w:basedOn w:val="81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8" w:customStyle="1">
    <w:name w:val="xl84"/>
    <w:basedOn w:val="81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9" w:customStyle="1">
    <w:name w:val="xl85"/>
    <w:basedOn w:val="81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0" w:customStyle="1">
    <w:name w:val="xl86"/>
    <w:basedOn w:val="81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1" w:customStyle="1">
    <w:name w:val="xl87"/>
    <w:basedOn w:val="81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2" w:customStyle="1">
    <w:name w:val="xl88"/>
    <w:basedOn w:val="81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3" w:customStyle="1">
    <w:name w:val="xl89"/>
    <w:basedOn w:val="81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90"/>
    <w:basedOn w:val="81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91"/>
    <w:basedOn w:val="81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92"/>
    <w:basedOn w:val="81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7" w:customStyle="1">
    <w:name w:val="xl93"/>
    <w:basedOn w:val="81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94"/>
    <w:basedOn w:val="817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95"/>
    <w:basedOn w:val="81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96"/>
    <w:basedOn w:val="81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7"/>
    <w:basedOn w:val="81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8"/>
    <w:basedOn w:val="817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3" w:customStyle="1">
    <w:name w:val="xl99"/>
    <w:basedOn w:val="817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100"/>
    <w:basedOn w:val="81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5" w:customStyle="1">
    <w:name w:val="xl101"/>
    <w:basedOn w:val="81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102"/>
    <w:basedOn w:val="81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 w:customStyle="1">
    <w:name w:val="xl103"/>
    <w:basedOn w:val="81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 w:customStyle="1">
    <w:name w:val="xl104"/>
    <w:basedOn w:val="81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05"/>
    <w:basedOn w:val="81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06"/>
    <w:basedOn w:val="81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07"/>
    <w:basedOn w:val="81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8"/>
    <w:basedOn w:val="81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9"/>
    <w:basedOn w:val="81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10"/>
    <w:basedOn w:val="81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11"/>
    <w:basedOn w:val="81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12"/>
    <w:basedOn w:val="817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937" w:customStyle="1">
    <w:name w:val="xl113"/>
    <w:basedOn w:val="81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14"/>
    <w:basedOn w:val="81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15"/>
    <w:basedOn w:val="817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0" w:customStyle="1">
    <w:name w:val="xl116"/>
    <w:basedOn w:val="81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17"/>
    <w:basedOn w:val="817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8"/>
    <w:basedOn w:val="817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9"/>
    <w:basedOn w:val="817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20"/>
    <w:basedOn w:val="817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5" w:customStyle="1">
    <w:name w:val="xl121"/>
    <w:basedOn w:val="817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6" w:customStyle="1">
    <w:name w:val="xl122"/>
    <w:basedOn w:val="817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23"/>
    <w:basedOn w:val="81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8" w:customStyle="1">
    <w:name w:val="xl124"/>
    <w:basedOn w:val="81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9" w:customStyle="1">
    <w:name w:val="xl125"/>
    <w:basedOn w:val="81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font6"/>
    <w:basedOn w:val="817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951" w:customStyle="1">
    <w:name w:val="font7"/>
    <w:basedOn w:val="817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952" w:customStyle="1">
    <w:name w:val="font8"/>
    <w:basedOn w:val="817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953">
    <w:name w:val="List Paragraph"/>
    <w:basedOn w:val="817"/>
    <w:uiPriority w:val="34"/>
    <w:qFormat/>
    <w:pPr>
      <w:contextualSpacing/>
      <w:ind w:left="720"/>
      <w:spacing w:before="0"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54" w:customStyle="1">
    <w:name w:val="Standard"/>
    <w:basedOn w:val="910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szCs w:val="20"/>
      <w:u w:val="none"/>
      <w:vertAlign w:val="baseline"/>
      <w:lang w:val="ru-RU" w:eastAsia="zh-CN" w:bidi="ar-SA"/>
      <w14:ligatures w14:val="none"/>
    </w:rPr>
  </w:style>
  <w:style w:type="paragraph" w:styleId="955" w:customStyle="1">
    <w:name w:val="ConsPlusTitle"/>
    <w:basedOn w:val="910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0"/>
      <w:u w:val="none"/>
      <w:vertAlign w:val="baseline"/>
      <w:lang w:val="ru-RU" w:eastAsia="zh-CN" w:bidi="ar-SA"/>
      <w14:ligatures w14:val="none"/>
    </w:rPr>
  </w:style>
  <w:style w:type="paragraph" w:styleId="956">
    <w:name w:val="Содержимое врезки"/>
    <w:basedOn w:val="817"/>
    <w:qFormat/>
  </w:style>
  <w:style w:type="paragraph" w:styleId="957">
    <w:name w:val="Содержимое таблицы"/>
    <w:basedOn w:val="817"/>
    <w:qFormat/>
    <w:pPr>
      <w:widowControl w:val="off"/>
      <w:suppressLineNumbers/>
    </w:pPr>
  </w:style>
  <w:style w:type="paragraph" w:styleId="958">
    <w:name w:val="Заголовок таблицы"/>
    <w:basedOn w:val="957"/>
    <w:qFormat/>
    <w:pPr>
      <w:jc w:val="center"/>
      <w:suppressLineNumbers/>
    </w:pPr>
    <w:rPr>
      <w:b/>
      <w:bCs/>
    </w:rPr>
  </w:style>
  <w:style w:type="numbering" w:styleId="959" w:default="1">
    <w:name w:val="No List"/>
    <w:semiHidden/>
    <w:qFormat/>
  </w:style>
  <w:style w:type="numbering" w:styleId="960" w:customStyle="1">
    <w:name w:val="Нет списка1"/>
    <w:uiPriority w:val="99"/>
    <w:semiHidden/>
    <w:unhideWhenUsed/>
    <w:qFormat/>
  </w:style>
  <w:style w:type="numbering" w:styleId="961" w:customStyle="1">
    <w:name w:val="Нет списка11"/>
    <w:uiPriority w:val="99"/>
    <w:semiHidden/>
    <w:unhideWhenUsed/>
    <w:qFormat/>
  </w:style>
  <w:style w:type="numbering" w:styleId="962" w:customStyle="1">
    <w:name w:val="Нет списка2"/>
    <w:uiPriority w:val="99"/>
    <w:semiHidden/>
    <w:unhideWhenUsed/>
    <w:qFormat/>
  </w:style>
  <w:style w:type="numbering" w:styleId="963" w:customStyle="1">
    <w:name w:val="Нет списка3"/>
    <w:uiPriority w:val="99"/>
    <w:semiHidden/>
    <w:unhideWhenUsed/>
    <w:qFormat/>
  </w:style>
  <w:style w:type="numbering" w:styleId="964" w:customStyle="1">
    <w:name w:val="Нет списка4"/>
    <w:uiPriority w:val="99"/>
    <w:semiHidden/>
    <w:unhideWhenUsed/>
    <w:qFormat/>
  </w:style>
  <w:style w:type="table" w:styleId="965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6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7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68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69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970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971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72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9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debf6" w:themeFill="accent1" w:themeFillTint="34"/>
      </w:tcPr>
    </w:tblStylePr>
    <w:tblStylePr w:type="band1Vert">
      <w:rPr>
        <w:sz w:val="22"/>
      </w:rPr>
      <w:tcPr>
        <w:shd w:val="clear" w:color="ffffff" w:fill="ddeb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deded" w:themeFill="accent3" w:themeFillTint="34"/>
      </w:tcPr>
    </w:tblStylePr>
    <w:tblStylePr w:type="band1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fef2cb" w:themeFill="accent4" w:themeFillTint="34"/>
      </w:tcPr>
    </w:tblStylePr>
    <w:tblStylePr w:type="band1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9e2f2" w:themeFill="accent5" w:themeFillTint="34"/>
      </w:tcPr>
    </w:tblStylePr>
    <w:tblStylePr w:type="band1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e2efd8" w:themeFill="accent6" w:themeFillTint="34"/>
      </w:tcPr>
    </w:tblStylePr>
    <w:tblStylePr w:type="band1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debf6" w:themeFill="accent1" w:themeFillTint="34"/>
      </w:tcPr>
    </w:tblStylePr>
    <w:tblStylePr w:type="band1Vert">
      <w:rPr>
        <w:sz w:val="22"/>
      </w:rPr>
      <w:tcPr>
        <w:shd w:val="clear" w:color="ffffff" w:fill="ddebf6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deded" w:themeFill="accent3" w:themeFillTint="34"/>
      </w:tcPr>
    </w:tblStylePr>
    <w:tblStylePr w:type="band1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fef2cb" w:themeFill="accent4" w:themeFillTint="34"/>
      </w:tcPr>
    </w:tblStylePr>
    <w:tblStylePr w:type="band1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9e2f2" w:themeFill="accent5" w:themeFillTint="34"/>
      </w:tcPr>
    </w:tblStylePr>
    <w:tblStylePr w:type="band1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e2efd8" w:themeFill="accent6" w:themeFillTint="34"/>
      </w:tcPr>
    </w:tblStylePr>
    <w:tblStylePr w:type="band1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94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febf6" w:themeFill="accent1" w:themeFillTint="32"/>
      </w:tcPr>
    </w:tblStylePr>
    <w:tblStylePr w:type="band1Vert">
      <w:rPr>
        <w:sz w:val="22"/>
      </w:rPr>
      <w:tcPr>
        <w:shd w:val="clear" w:color="ffffff" w:fill="df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95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96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deded" w:themeFill="accent3" w:themeFillTint="34"/>
      </w:tcPr>
    </w:tblStylePr>
    <w:tblStylePr w:type="band1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97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fef2cb" w:themeFill="accent4" w:themeFillTint="34"/>
      </w:tcPr>
    </w:tblStylePr>
    <w:tblStylePr w:type="band1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98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9e2f2" w:themeFill="accent5" w:themeFillTint="34"/>
      </w:tcPr>
    </w:tblStylePr>
    <w:tblStylePr w:type="band1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99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e2efd8" w:themeFill="accent6" w:themeFillTint="34"/>
      </w:tcPr>
    </w:tblStylePr>
    <w:tblStylePr w:type="band1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1000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100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sz w:val="22"/>
      </w:rPr>
      <w:tcPr>
        <w:shd w:val="clear" w:color="ffffff" w:fill="5b9bd5" w:themeFill="accent1"/>
      </w:tc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  <w:sz w:val="22"/>
      </w:rPr>
      <w:tcPr>
        <w:shd w:val="clear" w:color="ffffff" w:fill="5b9bd5" w:themeFill="accent1"/>
      </w:tcPr>
    </w:tblStylePr>
    <w:tblStylePr w:type="lastRow">
      <w:rPr>
        <w:b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100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sz w:val="22"/>
      </w:rPr>
      <w:tcPr>
        <w:shd w:val="clear" w:color="ffffff" w:fill="ed7d31" w:themeFill="accent2"/>
      </w:tcPr>
    </w:tblStylePr>
    <w:tblStylePr w:type="firstRow">
      <w:rPr>
        <w:b/>
        <w:sz w:val="22"/>
      </w:rPr>
      <w:tcPr>
        <w:shd w:val="clear" w:color="ffffff" w:fill="ed7d31" w:themeFill="accent2"/>
      </w:tcPr>
    </w:tblStylePr>
    <w:tblStylePr w:type="lastCol">
      <w:rPr>
        <w:b/>
        <w:sz w:val="22"/>
      </w:rPr>
      <w:tcPr>
        <w:shd w:val="clear" w:color="ffffff" w:fill="ed7d31" w:themeFill="accent2"/>
      </w:tcPr>
    </w:tblStylePr>
    <w:tblStylePr w:type="lastRow">
      <w:rPr>
        <w:b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100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sz w:val="22"/>
      </w:rPr>
      <w:tcPr>
        <w:shd w:val="clear" w:color="ffffff" w:fill="a5a5a5" w:themeFill="accent3"/>
      </w:tcPr>
    </w:tblStylePr>
    <w:tblStylePr w:type="firstRow">
      <w:rPr>
        <w:b/>
        <w:sz w:val="22"/>
      </w:rPr>
      <w:tcPr>
        <w:shd w:val="clear" w:color="ffffff" w:fill="a5a5a5" w:themeFill="accent3"/>
      </w:tcPr>
    </w:tblStylePr>
    <w:tblStylePr w:type="lastCol">
      <w:rPr>
        <w:b/>
        <w:sz w:val="22"/>
      </w:rPr>
      <w:tcPr>
        <w:shd w:val="clear" w:color="ffffff" w:fill="a5a5a5" w:themeFill="accent3"/>
      </w:tcPr>
    </w:tblStylePr>
    <w:tblStylePr w:type="lastRow">
      <w:rPr>
        <w:b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100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sz w:val="22"/>
      </w:rPr>
      <w:tcPr>
        <w:shd w:val="clear" w:color="ffffff" w:fill="ffc000" w:themeFill="accent4"/>
      </w:tcPr>
    </w:tblStylePr>
    <w:tblStylePr w:type="firstRow">
      <w:rPr>
        <w:b/>
        <w:sz w:val="22"/>
      </w:rPr>
      <w:tcPr>
        <w:shd w:val="clear" w:color="ffffff" w:fill="ffc000" w:themeFill="accent4"/>
      </w:tcPr>
    </w:tblStylePr>
    <w:tblStylePr w:type="lastCol">
      <w:rPr>
        <w:b/>
        <w:sz w:val="22"/>
      </w:rPr>
      <w:tcPr>
        <w:shd w:val="clear" w:color="ffffff" w:fill="ffc000" w:themeFill="accent4"/>
      </w:tcPr>
    </w:tblStylePr>
    <w:tblStylePr w:type="lastRow">
      <w:rPr>
        <w:b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100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sz w:val="22"/>
      </w:rPr>
      <w:tcPr>
        <w:shd w:val="clear" w:color="ffffff" w:fill="4472c4" w:themeFill="accent5"/>
      </w:tcPr>
    </w:tblStylePr>
    <w:tblStylePr w:type="firstRow">
      <w:rPr>
        <w:b/>
        <w:sz w:val="22"/>
      </w:rPr>
      <w:tcPr>
        <w:shd w:val="clear" w:color="ffffff" w:fill="4472c4" w:themeFill="accent5"/>
      </w:tcPr>
    </w:tblStylePr>
    <w:tblStylePr w:type="lastCol">
      <w:rPr>
        <w:b/>
        <w:sz w:val="22"/>
      </w:rPr>
      <w:tcPr>
        <w:shd w:val="clear" w:color="ffffff" w:fill="4472c4" w:themeFill="accent5"/>
      </w:tcPr>
    </w:tblStylePr>
    <w:tblStylePr w:type="lastRow">
      <w:rPr>
        <w:b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100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sz w:val="22"/>
      </w:rPr>
      <w:tcPr>
        <w:shd w:val="clear" w:color="ffffff" w:fill="70ad47" w:themeFill="accent6"/>
      </w:tcPr>
    </w:tblStylePr>
    <w:tblStylePr w:type="firstRow">
      <w:rPr>
        <w:b/>
        <w:sz w:val="22"/>
      </w:rPr>
      <w:tcPr>
        <w:shd w:val="clear" w:color="ffffff" w:fill="70ad47" w:themeFill="accent6"/>
      </w:tcPr>
    </w:tblStylePr>
    <w:tblStylePr w:type="lastCol">
      <w:rPr>
        <w:b/>
        <w:sz w:val="22"/>
      </w:rPr>
      <w:tcPr>
        <w:shd w:val="clear" w:color="ffffff" w:fill="70ad47" w:themeFill="accent6"/>
      </w:tcPr>
    </w:tblStylePr>
    <w:tblStylePr w:type="lastRow">
      <w:rPr>
        <w:b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1007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0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317bba" w:themeColor="accent1" w:themeTint="80" w:themeShade="95"/>
        <w:sz w:val="22"/>
      </w:rPr>
    </w:tblStylePr>
  </w:style>
  <w:style w:type="table" w:styleId="100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101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606060" w:themeColor="accent3" w:themeTint="FE" w:themeShade="95"/>
        <w:sz w:val="22"/>
      </w:rPr>
    </w:tblStylePr>
  </w:style>
  <w:style w:type="table" w:styleId="101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101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254374" w:themeColor="accent5" w:themeShade="95"/>
        <w:sz w:val="22"/>
      </w:rPr>
    </w:tblStylePr>
  </w:style>
  <w:style w:type="table" w:styleId="101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254374" w:themeColor="accent5" w:themeShade="95"/>
        <w:sz w:val="22"/>
      </w:rPr>
    </w:tblStylePr>
  </w:style>
  <w:style w:type="table" w:styleId="1014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29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5e6f4" w:themeFill="accent1" w:themeFillTint="40"/>
      </w:tcPr>
    </w:tblStylePr>
    <w:tblStylePr w:type="band1Vert">
      <w:rPr>
        <w:sz w:val="22"/>
      </w:rPr>
      <w:tcPr>
        <w:shd w:val="clear" w:color="ffffff" w:fill="d5e6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30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adecb" w:themeFill="accent2" w:themeFillTint="40"/>
      </w:tcPr>
    </w:tblStylePr>
    <w:tblStylePr w:type="band1Vert">
      <w:rPr>
        <w:sz w:val="22"/>
      </w:rPr>
      <w:tcPr>
        <w:shd w:val="clear" w:color="ffffff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31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8e8e8" w:themeFill="accent3" w:themeFillTint="40"/>
      </w:tcPr>
    </w:tblStylePr>
    <w:tblStylePr w:type="band1Vert">
      <w:rPr>
        <w:sz w:val="22"/>
      </w:rPr>
      <w:tcPr>
        <w:shd w:val="clear" w:color="ffffff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32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ffefbf" w:themeFill="accent4" w:themeFillTint="40"/>
      </w:tcPr>
    </w:tblStylePr>
    <w:tblStylePr w:type="band1Vert">
      <w:rPr>
        <w:sz w:val="22"/>
      </w:rPr>
      <w:tcPr>
        <w:shd w:val="clear" w:color="fffff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33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cfdcf0" w:themeFill="accent5" w:themeFillTint="40"/>
      </w:tcPr>
    </w:tblStylePr>
    <w:tblStylePr w:type="band1Vert">
      <w:rPr>
        <w:sz w:val="22"/>
      </w:rPr>
      <w:tcPr>
        <w:shd w:val="clear" w:color="ffffff" w:fill="cfdc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34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dbebd0" w:themeFill="accent6" w:themeFillTint="40"/>
      </w:tcPr>
    </w:tblStylePr>
    <w:tblStylePr w:type="band1Vert">
      <w:rPr>
        <w:sz w:val="22"/>
      </w:rPr>
      <w:tcPr>
        <w:shd w:val="clear" w:color="ffffff" w:fill="dbeb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35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6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7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4b18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8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9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d864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0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eab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1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ad08f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2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3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5e6f4" w:themeFill="accent1" w:themeFillTint="40"/>
      </w:tcPr>
    </w:tblStylePr>
    <w:tblStylePr w:type="band1Vert">
      <w:rPr>
        <w:sz w:val="22"/>
      </w:rPr>
      <w:tcPr>
        <w:shd w:val="clear" w:color="ffffff" w:fill="d5e6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4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adecb" w:themeFill="accent2" w:themeFillTint="40"/>
      </w:tcPr>
    </w:tblStylePr>
    <w:tblStylePr w:type="band1Vert">
      <w:rPr>
        <w:sz w:val="22"/>
      </w:rPr>
      <w:tcPr>
        <w:shd w:val="clear" w:color="ffffff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5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8e8e8" w:themeFill="accent3" w:themeFillTint="40"/>
      </w:tcPr>
    </w:tblStylePr>
    <w:tblStylePr w:type="band1Vert">
      <w:rPr>
        <w:sz w:val="22"/>
      </w:rPr>
      <w:tcPr>
        <w:shd w:val="clear" w:color="ffffff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6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ffefbf" w:themeFill="accent4" w:themeFillTint="40"/>
      </w:tcPr>
    </w:tblStylePr>
    <w:tblStylePr w:type="band1Vert">
      <w:rPr>
        <w:sz w:val="22"/>
      </w:rPr>
      <w:tcPr>
        <w:shd w:val="clear" w:color="fffff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7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cfdcf0" w:themeFill="accent5" w:themeFillTint="40"/>
      </w:tcPr>
    </w:tblStylePr>
    <w:tblStylePr w:type="band1Vert">
      <w:rPr>
        <w:sz w:val="22"/>
      </w:rPr>
      <w:tcPr>
        <w:shd w:val="clear" w:color="ffffff" w:fill="cfdc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8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dbebd0" w:themeFill="accent6" w:themeFillTint="40"/>
      </w:tcPr>
    </w:tblStylePr>
    <w:tblStylePr w:type="band1Vert">
      <w:rPr>
        <w:sz w:val="22"/>
      </w:rPr>
      <w:tcPr>
        <w:shd w:val="clear" w:color="ffffff" w:fill="dbeb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9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6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5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5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5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6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6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6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63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6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106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106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106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106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106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1070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71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ce0f1" w:themeFill="accent1" w:themeFillTint="50"/>
      </w:tcPr>
    </w:tblStylePr>
    <w:tblStylePr w:type="band2Vert">
      <w:rPr>
        <w:sz w:val="22"/>
      </w:rPr>
      <w:tcPr>
        <w:shd w:val="clear" w:color="ffffff" w:fill="cce0f1" w:themeFill="accent1" w:themeFillTint="50"/>
      </w:tcPr>
    </w:tblStylePr>
    <w:tblStylePr w:type="firstCol">
      <w:rPr>
        <w:sz w:val="22"/>
      </w:rPr>
      <w:tcPr>
        <w:shd w:val="clear" w:color="ffffff" w:fill="67a4d8" w:themeFill="accent1" w:themeFillTint="EA"/>
      </w:tcPr>
    </w:tblStylePr>
    <w:tblStylePr w:type="firstRow">
      <w:rPr>
        <w:sz w:val="22"/>
      </w:rPr>
      <w:tcPr>
        <w:shd w:val="clear" w:color="ffffff" w:fill="67a4d8" w:themeFill="accent1" w:themeFillTint="EA"/>
      </w:tcPr>
    </w:tblStylePr>
    <w:tblStylePr w:type="lastCol">
      <w:rPr>
        <w:sz w:val="22"/>
      </w:rPr>
      <w:tcPr>
        <w:shd w:val="clear" w:color="ffffff" w:fill="67a4d8" w:themeFill="accent1" w:themeFillTint="EA"/>
      </w:tcPr>
    </w:tblStylePr>
    <w:tblStylePr w:type="lastRow">
      <w:rPr>
        <w:sz w:val="22"/>
      </w:rPr>
      <w:tcPr>
        <w:shd w:val="clear" w:color="ffffff" w:fill="67a4d8" w:themeFill="accent1" w:themeFillTint="EA"/>
      </w:tcPr>
    </w:tblStylePr>
  </w:style>
  <w:style w:type="table" w:styleId="1072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be5d6" w:themeFill="accent2" w:themeFillTint="32"/>
      </w:tcPr>
    </w:tblStylePr>
    <w:tblStylePr w:type="band2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sz w:val="22"/>
      </w:rPr>
      <w:tcPr>
        <w:shd w:val="clear" w:color="ffffff" w:fill="f4b185" w:themeFill="accent2" w:themeFillTint="97"/>
      </w:tcPr>
    </w:tblStylePr>
    <w:tblStylePr w:type="firstRow">
      <w:rPr>
        <w:sz w:val="22"/>
      </w:rPr>
      <w:tcPr>
        <w:shd w:val="clear" w:color="ffffff" w:fill="f4b185" w:themeFill="accent2" w:themeFillTint="97"/>
      </w:tcPr>
    </w:tblStylePr>
    <w:tblStylePr w:type="lastCol">
      <w:rPr>
        <w:sz w:val="22"/>
      </w:rPr>
      <w:tcPr>
        <w:shd w:val="clear" w:color="ffffff" w:fill="f4b185" w:themeFill="accent2" w:themeFillTint="97"/>
      </w:tcPr>
    </w:tblStylePr>
    <w:tblStylePr w:type="lastRow">
      <w:rPr>
        <w:sz w:val="22"/>
      </w:rPr>
      <w:tcPr>
        <w:shd w:val="clear" w:color="ffffff" w:fill="f4b185" w:themeFill="accent2" w:themeFillTint="97"/>
      </w:tcPr>
    </w:tblStylePr>
  </w:style>
  <w:style w:type="table" w:styleId="1073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deded" w:themeFill="accent3" w:themeFillTint="34"/>
      </w:tcPr>
    </w:tblStylePr>
    <w:tblStylePr w:type="band2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sz w:val="22"/>
      </w:rPr>
      <w:tcPr>
        <w:shd w:val="clear" w:color="ffffff" w:fill="a5a5a5" w:themeFill="accent3" w:themeFillTint="FE"/>
      </w:tcPr>
    </w:tblStylePr>
    <w:tblStylePr w:type="firstRow">
      <w:rPr>
        <w:sz w:val="22"/>
      </w:rPr>
      <w:tcPr>
        <w:shd w:val="clear" w:color="ffffff" w:fill="a5a5a5" w:themeFill="accent3" w:themeFillTint="FE"/>
      </w:tcPr>
    </w:tblStylePr>
    <w:tblStylePr w:type="lastCol">
      <w:rPr>
        <w:sz w:val="22"/>
      </w:rPr>
      <w:tcPr>
        <w:shd w:val="clear" w:color="ffffff" w:fill="a5a5a5" w:themeFill="accent3" w:themeFillTint="FE"/>
      </w:tcPr>
    </w:tblStylePr>
    <w:tblStylePr w:type="lastRow">
      <w:rPr>
        <w:sz w:val="22"/>
      </w:rPr>
      <w:tcPr>
        <w:shd w:val="clear" w:color="ffffff" w:fill="a5a5a5" w:themeFill="accent3" w:themeFillTint="FE"/>
      </w:tcPr>
    </w:tblStylePr>
  </w:style>
  <w:style w:type="table" w:styleId="1074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ef2cb" w:themeFill="accent4" w:themeFillTint="34"/>
      </w:tcPr>
    </w:tblStylePr>
    <w:tblStylePr w:type="band2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sz w:val="22"/>
      </w:rPr>
      <w:tcPr>
        <w:shd w:val="clear" w:color="ffffff" w:fill="ffd864" w:themeFill="accent4" w:themeFillTint="9A"/>
      </w:tcPr>
    </w:tblStylePr>
    <w:tblStylePr w:type="firstRow">
      <w:rPr>
        <w:sz w:val="22"/>
      </w:rPr>
      <w:tcPr>
        <w:shd w:val="clear" w:color="ffffff" w:fill="ffd864" w:themeFill="accent4" w:themeFillTint="9A"/>
      </w:tcPr>
    </w:tblStylePr>
    <w:tblStylePr w:type="lastCol">
      <w:rPr>
        <w:sz w:val="22"/>
      </w:rPr>
      <w:tcPr>
        <w:shd w:val="clear" w:color="ffffff" w:fill="ffd864" w:themeFill="accent4" w:themeFillTint="9A"/>
      </w:tcPr>
    </w:tblStylePr>
    <w:tblStylePr w:type="lastRow">
      <w:rPr>
        <w:sz w:val="22"/>
      </w:rPr>
      <w:tcPr>
        <w:shd w:val="clear" w:color="ffffff" w:fill="ffd864" w:themeFill="accent4" w:themeFillTint="9A"/>
      </w:tcPr>
    </w:tblStylePr>
  </w:style>
  <w:style w:type="table" w:styleId="1075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9e2f2" w:themeFill="accent5" w:themeFillTint="34"/>
      </w:tcPr>
    </w:tblStylePr>
    <w:tblStylePr w:type="band2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sz w:val="22"/>
      </w:rPr>
      <w:tcPr>
        <w:shd w:val="clear" w:color="ffffff" w:fill="4472c4" w:themeFill="accent5"/>
      </w:tcPr>
    </w:tblStylePr>
    <w:tblStylePr w:type="firstRow">
      <w:rPr>
        <w:sz w:val="22"/>
      </w:rPr>
      <w:tcPr>
        <w:shd w:val="clear" w:color="ffffff" w:fill="4472c4" w:themeFill="accent5"/>
      </w:tcPr>
    </w:tblStylePr>
    <w:tblStylePr w:type="lastCol">
      <w:rPr>
        <w:sz w:val="22"/>
      </w:rPr>
      <w:tcPr>
        <w:shd w:val="clear" w:color="ffffff" w:fill="4472c4" w:themeFill="accent5"/>
      </w:tcPr>
    </w:tblStylePr>
    <w:tblStylePr w:type="lastRow">
      <w:rPr>
        <w:sz w:val="22"/>
      </w:rPr>
      <w:tcPr>
        <w:shd w:val="clear" w:color="ffffff" w:fill="4472c4" w:themeFill="accent5"/>
      </w:tcPr>
    </w:tblStylePr>
  </w:style>
  <w:style w:type="table" w:styleId="1076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2efd8" w:themeFill="accent6" w:themeFillTint="34"/>
      </w:tcPr>
    </w:tblStylePr>
    <w:tblStylePr w:type="band2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sz w:val="22"/>
      </w:rPr>
      <w:tcPr>
        <w:shd w:val="clear" w:color="ffffff" w:fill="70ad47" w:themeFill="accent6"/>
      </w:tcPr>
    </w:tblStylePr>
    <w:tblStylePr w:type="firstRow">
      <w:rPr>
        <w:sz w:val="22"/>
      </w:rPr>
      <w:tcPr>
        <w:shd w:val="clear" w:color="ffffff" w:fill="70ad47" w:themeFill="accent6"/>
      </w:tcPr>
    </w:tblStylePr>
    <w:tblStylePr w:type="lastCol">
      <w:rPr>
        <w:sz w:val="22"/>
      </w:rPr>
      <w:tcPr>
        <w:shd w:val="clear" w:color="ffffff" w:fill="70ad47" w:themeFill="accent6"/>
      </w:tcPr>
    </w:tblStylePr>
    <w:tblStylePr w:type="lastRow">
      <w:rPr>
        <w:sz w:val="22"/>
      </w:rPr>
      <w:tcPr>
        <w:shd w:val="clear" w:color="ffffff" w:fill="70ad47" w:themeFill="accent6"/>
      </w:tcPr>
    </w:tblStylePr>
  </w:style>
  <w:style w:type="table" w:styleId="1077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78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ce0f1" w:themeFill="accent1" w:themeFillTint="50"/>
      </w:tcPr>
    </w:tblStylePr>
    <w:tblStylePr w:type="band2Vert">
      <w:rPr>
        <w:sz w:val="22"/>
      </w:rPr>
      <w:tcPr>
        <w:shd w:val="clear" w:color="ffffff" w:fill="cce0f1" w:themeFill="accent1" w:themeFillTint="50"/>
      </w:tcPr>
    </w:tblStylePr>
    <w:tblStylePr w:type="firstCol">
      <w:rPr>
        <w:sz w:val="22"/>
      </w:rPr>
      <w:tcPr>
        <w:shd w:val="clear" w:color="ffffff" w:fill="67a4d8" w:themeFill="accent1" w:themeFillTint="EA"/>
      </w:tcPr>
    </w:tblStylePr>
    <w:tblStylePr w:type="firstRow">
      <w:rPr>
        <w:sz w:val="22"/>
      </w:rPr>
      <w:tcPr>
        <w:shd w:val="clear" w:color="ffffff" w:fill="67a4d8" w:themeFill="accent1" w:themeFillTint="EA"/>
      </w:tcPr>
    </w:tblStylePr>
    <w:tblStylePr w:type="lastCol">
      <w:rPr>
        <w:sz w:val="22"/>
      </w:rPr>
      <w:tcPr>
        <w:shd w:val="clear" w:color="ffffff" w:fill="67a4d8" w:themeFill="accent1" w:themeFillTint="EA"/>
      </w:tcPr>
    </w:tblStylePr>
    <w:tblStylePr w:type="lastRow">
      <w:rPr>
        <w:sz w:val="22"/>
      </w:rPr>
      <w:tcPr>
        <w:shd w:val="clear" w:color="ffffff" w:fill="67a4d8" w:themeFill="accent1" w:themeFillTint="EA"/>
      </w:tcPr>
    </w:tblStylePr>
  </w:style>
  <w:style w:type="table" w:styleId="1079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be5d6" w:themeFill="accent2" w:themeFillTint="32"/>
      </w:tcPr>
    </w:tblStylePr>
    <w:tblStylePr w:type="band2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sz w:val="22"/>
      </w:rPr>
      <w:tcPr>
        <w:shd w:val="clear" w:color="ffffff" w:fill="f4b185" w:themeFill="accent2" w:themeFillTint="97"/>
      </w:tcPr>
    </w:tblStylePr>
    <w:tblStylePr w:type="firstRow">
      <w:rPr>
        <w:sz w:val="22"/>
      </w:rPr>
      <w:tcPr>
        <w:shd w:val="clear" w:color="ffffff" w:fill="f4b185" w:themeFill="accent2" w:themeFillTint="97"/>
      </w:tcPr>
    </w:tblStylePr>
    <w:tblStylePr w:type="lastCol">
      <w:rPr>
        <w:sz w:val="22"/>
      </w:rPr>
      <w:tcPr>
        <w:shd w:val="clear" w:color="ffffff" w:fill="f4b185" w:themeFill="accent2" w:themeFillTint="97"/>
      </w:tcPr>
    </w:tblStylePr>
    <w:tblStylePr w:type="lastRow">
      <w:rPr>
        <w:sz w:val="22"/>
      </w:rPr>
      <w:tcPr>
        <w:shd w:val="clear" w:color="ffffff" w:fill="f4b185" w:themeFill="accent2" w:themeFillTint="97"/>
      </w:tcPr>
    </w:tblStylePr>
  </w:style>
  <w:style w:type="table" w:styleId="1080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deded" w:themeFill="accent3" w:themeFillTint="34"/>
      </w:tcPr>
    </w:tblStylePr>
    <w:tblStylePr w:type="band2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sz w:val="22"/>
      </w:rPr>
      <w:tcPr>
        <w:shd w:val="clear" w:color="ffffff" w:fill="a5a5a5" w:themeFill="accent3" w:themeFillTint="FE"/>
      </w:tcPr>
    </w:tblStylePr>
    <w:tblStylePr w:type="firstRow">
      <w:rPr>
        <w:sz w:val="22"/>
      </w:rPr>
      <w:tcPr>
        <w:shd w:val="clear" w:color="ffffff" w:fill="a5a5a5" w:themeFill="accent3" w:themeFillTint="FE"/>
      </w:tcPr>
    </w:tblStylePr>
    <w:tblStylePr w:type="lastCol">
      <w:rPr>
        <w:sz w:val="22"/>
      </w:rPr>
      <w:tcPr>
        <w:shd w:val="clear" w:color="ffffff" w:fill="a5a5a5" w:themeFill="accent3" w:themeFillTint="FE"/>
      </w:tcPr>
    </w:tblStylePr>
    <w:tblStylePr w:type="lastRow">
      <w:rPr>
        <w:sz w:val="22"/>
      </w:rPr>
      <w:tcPr>
        <w:shd w:val="clear" w:color="ffffff" w:fill="a5a5a5" w:themeFill="accent3" w:themeFillTint="FE"/>
      </w:tcPr>
    </w:tblStylePr>
  </w:style>
  <w:style w:type="table" w:styleId="1081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ef2cb" w:themeFill="accent4" w:themeFillTint="34"/>
      </w:tcPr>
    </w:tblStylePr>
    <w:tblStylePr w:type="band2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sz w:val="22"/>
      </w:rPr>
      <w:tcPr>
        <w:shd w:val="clear" w:color="ffffff" w:fill="ffd864" w:themeFill="accent4" w:themeFillTint="9A"/>
      </w:tcPr>
    </w:tblStylePr>
    <w:tblStylePr w:type="firstRow">
      <w:rPr>
        <w:sz w:val="22"/>
      </w:rPr>
      <w:tcPr>
        <w:shd w:val="clear" w:color="ffffff" w:fill="ffd864" w:themeFill="accent4" w:themeFillTint="9A"/>
      </w:tcPr>
    </w:tblStylePr>
    <w:tblStylePr w:type="lastCol">
      <w:rPr>
        <w:sz w:val="22"/>
      </w:rPr>
      <w:tcPr>
        <w:shd w:val="clear" w:color="ffffff" w:fill="ffd864" w:themeFill="accent4" w:themeFillTint="9A"/>
      </w:tcPr>
    </w:tblStylePr>
    <w:tblStylePr w:type="lastRow">
      <w:rPr>
        <w:sz w:val="22"/>
      </w:rPr>
      <w:tcPr>
        <w:shd w:val="clear" w:color="ffffff" w:fill="ffd864" w:themeFill="accent4" w:themeFillTint="9A"/>
      </w:tcPr>
    </w:tblStylePr>
  </w:style>
  <w:style w:type="table" w:styleId="1082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9e2f2" w:themeFill="accent5" w:themeFillTint="34"/>
      </w:tcPr>
    </w:tblStylePr>
    <w:tblStylePr w:type="band2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sz w:val="22"/>
      </w:rPr>
      <w:tcPr>
        <w:shd w:val="clear" w:color="ffffff" w:fill="4472c4" w:themeFill="accent5"/>
      </w:tcPr>
    </w:tblStylePr>
    <w:tblStylePr w:type="firstRow">
      <w:rPr>
        <w:sz w:val="22"/>
      </w:rPr>
      <w:tcPr>
        <w:shd w:val="clear" w:color="ffffff" w:fill="4472c4" w:themeFill="accent5"/>
      </w:tcPr>
    </w:tblStylePr>
    <w:tblStylePr w:type="lastCol">
      <w:rPr>
        <w:sz w:val="22"/>
      </w:rPr>
      <w:tcPr>
        <w:shd w:val="clear" w:color="ffffff" w:fill="4472c4" w:themeFill="accent5"/>
      </w:tcPr>
    </w:tblStylePr>
    <w:tblStylePr w:type="lastRow">
      <w:rPr>
        <w:sz w:val="22"/>
      </w:rPr>
      <w:tcPr>
        <w:shd w:val="clear" w:color="ffffff" w:fill="4472c4" w:themeFill="accent5"/>
      </w:tcPr>
    </w:tblStylePr>
  </w:style>
  <w:style w:type="table" w:styleId="1083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2efd8" w:themeFill="accent6" w:themeFillTint="34"/>
      </w:tcPr>
    </w:tblStylePr>
    <w:tblStylePr w:type="band2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sz w:val="22"/>
      </w:rPr>
      <w:tcPr>
        <w:shd w:val="clear" w:color="ffffff" w:fill="70ad47" w:themeFill="accent6"/>
      </w:tcPr>
    </w:tblStylePr>
    <w:tblStylePr w:type="firstRow">
      <w:rPr>
        <w:sz w:val="22"/>
      </w:rPr>
      <w:tcPr>
        <w:shd w:val="clear" w:color="ffffff" w:fill="70ad47" w:themeFill="accent6"/>
      </w:tcPr>
    </w:tblStylePr>
    <w:tblStylePr w:type="lastCol">
      <w:rPr>
        <w:sz w:val="22"/>
      </w:rPr>
      <w:tcPr>
        <w:shd w:val="clear" w:color="ffffff" w:fill="70ad47" w:themeFill="accent6"/>
      </w:tcPr>
    </w:tblStylePr>
    <w:tblStylePr w:type="lastRow">
      <w:rPr>
        <w:sz w:val="22"/>
      </w:rPr>
      <w:tcPr>
        <w:shd w:val="clear" w:color="ffffff" w:fill="70ad47" w:themeFill="accent6"/>
      </w:tcPr>
    </w:tblStylePr>
  </w:style>
  <w:style w:type="table" w:styleId="1084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85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86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87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88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89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90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image" Target="media/image1.wmf"/><Relationship Id="rId17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revision>31</cp:revision>
  <dcterms:created xsi:type="dcterms:W3CDTF">2024-10-25T06:26:00Z</dcterms:created>
  <dcterms:modified xsi:type="dcterms:W3CDTF">2025-08-13T12:48:59Z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