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Порядок</w:t>
      </w:r>
      <w:r>
        <w:rPr>
          <w:b/>
          <w:bCs/>
          <w:sz w:val="28"/>
          <w:szCs w:val="28"/>
        </w:rPr>
        <w:t xml:space="preserve"> принятия решений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и реализации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бюджетных инвестиций в объекты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собственности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принятия решений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бюджетных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ассигнований</w:t>
      </w:r>
      <w:r>
        <w:t xml:space="preserve"> </w:t>
      </w:r>
      <w:r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счет субсидий капитальных вложений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объекты муниципальной собственности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tabs>
          <w:tab w:val="center" w:pos="496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07.08.2014 № 531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города Перми, принятия решени</w:t>
      </w:r>
      <w:r>
        <w:rPr>
          <w:sz w:val="28"/>
          <w:szCs w:val="28"/>
        </w:rPr>
        <w:t xml:space="preserve">й о предоставлении бюджетных ассигнований на осуществление за счет субсидий капитальных вложений в объекты муниципальной собственности города Перми,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07 августа 2014 г. № 531 (в ред. от 28.01.2015 №</w:t>
      </w:r>
      <w:r>
        <w:rPr>
          <w:sz w:val="28"/>
          <w:szCs w:val="28"/>
        </w:rPr>
        <w:t xml:space="preserve"> 52, от 29.06.2015 № 418, </w:t>
      </w:r>
      <w:r>
        <w:rPr>
          <w:sz w:val="28"/>
          <w:szCs w:val="28"/>
        </w:rPr>
        <w:br/>
        <w:t xml:space="preserve">от 12.07.2016 № 493, от 06.10.2016 № 799, от 12.01.2017 № 24, от 02.11.2017 № 983, от 25.06.2018 № 424, от 24.06.2019 № 301, от 14.01.2020 № 29, от 24.02.2021 № 105, от 15.04.2021 № 258, от 06.07.2021 № 507, от 22.09.2021 № 738, </w:t>
      </w:r>
      <w:r>
        <w:rPr>
          <w:sz w:val="28"/>
          <w:szCs w:val="28"/>
        </w:rPr>
        <w:t xml:space="preserve">от 25.07.2022 </w:t>
      </w:r>
      <w:r>
        <w:rPr>
          <w:sz w:val="28"/>
          <w:szCs w:val="28"/>
        </w:rPr>
        <w:br/>
        <w:t xml:space="preserve">№ 625, от 21.02.2023 № 134, от 13.07.2023 № 598),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1.1. в пункте 1.2.3 слова «проектно-сметная документация» заменить словами «проектная документация»;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пунктом 1.2.3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09"/>
        <w:jc w:val="both"/>
        <w:rPr>
          <w:b/>
          <w:color w:val="000000" w:themeColor="text1"/>
          <w:sz w:val="24"/>
        </w:rPr>
      </w:pPr>
      <w:r>
        <w:t xml:space="preserve">«1.2.3</w:t>
      </w:r>
      <w:r>
        <w:rPr>
          <w:vertAlign w:val="superscript"/>
        </w:rPr>
        <w:t xml:space="preserve">1</w:t>
      </w:r>
      <w:r>
        <w:t xml:space="preserve">.</w:t>
      </w:r>
      <w:r>
        <w:rPr>
          <w:sz w:val="22"/>
        </w:rPr>
        <w:t xml:space="preserve"> </w:t>
      </w:r>
      <w:r>
        <w:t xml:space="preserve">муницип</w:t>
      </w:r>
      <w:r>
        <w:t xml:space="preserve">альный проект, направленный на осуществление капитальных вложений в объекты муниципальной собственности</w:t>
      </w:r>
      <w:r>
        <w:t xml:space="preserve"> </w:t>
      </w:r>
      <w:r>
        <w:t xml:space="preserve">города Перми, – применяется в понятии, аналогичном понятию, применяемому в Положении </w:t>
      </w:r>
      <w:r>
        <w:br/>
        <w:t xml:space="preserve">об организации проектной деятельности в администрации города Перми</w:t>
      </w:r>
      <w:r>
        <w:t xml:space="preserve">, утвержденном постановлением администрации города Перми от 28 апреля 2017 г. № 327</w:t>
      </w:r>
      <w:r>
        <w:rPr>
          <w:color w:val="000000" w:themeColor="text1"/>
        </w:rPr>
        <w:t xml:space="preserve"> (далее – Положение об организации проектной деятельности);»;</w:t>
      </w:r>
      <w:r>
        <w:rPr>
          <w:b/>
          <w:color w:val="000000" w:themeColor="text1"/>
          <w:sz w:val="24"/>
        </w:rPr>
      </w:r>
      <w:r>
        <w:rPr>
          <w:b/>
          <w:color w:val="000000" w:themeColor="text1"/>
          <w:sz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1.2.4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«1.2.4. объекты капитального строительства – объекты муниципал</w:t>
      </w:r>
      <w:r>
        <w:rPr>
          <w:sz w:val="28"/>
          <w:szCs w:val="28"/>
        </w:rPr>
        <w:t xml:space="preserve">ьной собственности, созданные за счет средств бюджета города Перми в виде </w:t>
      </w:r>
      <w:r>
        <w:rPr>
          <w:sz w:val="28"/>
          <w:szCs w:val="28"/>
        </w:rPr>
        <w:t xml:space="preserve">бюджетных инвестиций, субсидий на осуществление капитальных вложений </w:t>
      </w:r>
      <w:r>
        <w:rPr>
          <w:sz w:val="28"/>
          <w:szCs w:val="28"/>
        </w:rPr>
        <w:br/>
        <w:t xml:space="preserve">в объект, в том числе в рамках концессионных соглашений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города Перми в результате осуществления бюджетных инвестиций, закрепляются в устан</w:t>
      </w:r>
      <w:r>
        <w:rPr>
          <w:sz w:val="28"/>
          <w:szCs w:val="28"/>
        </w:rPr>
        <w:t xml:space="preserve">овленном порядке на праве оперативного управления или хозяйственного ведения </w:t>
      </w:r>
      <w:r>
        <w:rPr>
          <w:sz w:val="28"/>
          <w:szCs w:val="28"/>
        </w:rPr>
        <w:br/>
        <w:t xml:space="preserve">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</w:t>
      </w:r>
      <w:r>
        <w:rPr>
          <w:sz w:val="28"/>
          <w:szCs w:val="28"/>
        </w:rPr>
        <w:t xml:space="preserve">ипальных учреждений либо на праве оперативного управления или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</w:t>
      </w:r>
      <w:r>
        <w:rPr>
          <w:sz w:val="28"/>
          <w:szCs w:val="28"/>
        </w:rPr>
        <w:t xml:space="preserve">зны города Перми.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капитальных вложений в объекты капитального строительства и (или) приобретение объектов недвижимого имущества за счет субсидий на осуществление капитальных вложений в объекты влечет последующее увеличение стоимости основных </w:t>
      </w:r>
      <w:r>
        <w:rPr>
          <w:sz w:val="28"/>
          <w:szCs w:val="28"/>
        </w:rPr>
        <w:t xml:space="preserve">средств, находящихся на праве оперативного управления у муниципальных бюджетных и автономных учреждений либо на праве </w:t>
      </w:r>
      <w:r>
        <w:rPr>
          <w:sz w:val="28"/>
          <w:szCs w:val="28"/>
        </w:rPr>
        <w:t xml:space="preserve">оперативного управления или хозяйственного ведения у му</w:t>
      </w:r>
      <w:r>
        <w:rPr>
          <w:sz w:val="28"/>
          <w:szCs w:val="28"/>
        </w:rPr>
        <w:t xml:space="preserve">ниципальных унитарных предприятий, а также уставного фонда указанных предприятий, о</w:t>
      </w:r>
      <w:r>
        <w:rPr>
          <w:sz w:val="28"/>
          <w:szCs w:val="28"/>
        </w:rPr>
        <w:t xml:space="preserve">снованных на праве хозяйственного ведения;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1.2.7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«1.2.7. объекты дорожного строительства и благоустройства города Перми – автомобильные дороги общего пользования местного значения города Перми, трамвайные пути, к</w:t>
      </w:r>
      <w:r>
        <w:rPr>
          <w:sz w:val="28"/>
          <w:szCs w:val="28"/>
        </w:rPr>
        <w:t xml:space="preserve">онтактно-кабельные сети городского наземного электрического транспорта, мосты, путепроводы, тоннели и эстакады в границах города Перми, системы ливневой канализации на территориях общего пользования города Перми, планируемые к строительству (реконструкции)</w:t>
      </w:r>
      <w:r>
        <w:rPr>
          <w:sz w:val="28"/>
          <w:szCs w:val="28"/>
        </w:rPr>
        <w:t xml:space="preserve"> и принятию по окончании строительства (реконструкции) в муниципальную собственность города Перми (далее – объекты дорожного строительства и благоустройства)</w:t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дополнить пунктом 1.2.8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vertAlign w:val="baseline"/>
        </w:rPr>
        <w:t xml:space="preserve">с</w:t>
      </w:r>
      <w:r>
        <w:rPr>
          <w:sz w:val="28"/>
          <w:szCs w:val="28"/>
        </w:rPr>
        <w:t xml:space="preserve">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«1.2.8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реестр инвестиционных прое</w:t>
      </w:r>
      <w:r>
        <w:rPr>
          <w:sz w:val="28"/>
          <w:szCs w:val="28"/>
        </w:rPr>
        <w:t xml:space="preserve">ктов – применяется в понятии, аналогичном понятию, применяемому в Положении об организации проектной деятельности;»;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1.2.10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«1.2.10. заказчик осуществления капитальных вложений в объекты муниципальной собственности</w:t>
      </w:r>
      <w:r>
        <w:rPr>
          <w:sz w:val="28"/>
          <w:szCs w:val="28"/>
        </w:rPr>
        <w:t xml:space="preserve"> города Перми – руководитель функционально-целевого блока, ответственный за осуществление капитальных вложений </w:t>
      </w:r>
      <w:r>
        <w:rPr>
          <w:sz w:val="28"/>
          <w:szCs w:val="28"/>
        </w:rPr>
        <w:br/>
        <w:t xml:space="preserve">в объекты, который выдает поручения ответственному исполнителю по подготовке и реализации бюджетных инвестиций, предоставлению бюджетных ассигно</w:t>
      </w:r>
      <w:r>
        <w:rPr>
          <w:sz w:val="28"/>
          <w:szCs w:val="28"/>
        </w:rPr>
        <w:t xml:space="preserve">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 (далее – Заказчик);»;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1.2.11 изложить в сле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«1.2.11. ответственный исполнитель – функциональный орган администрации города Перми (далее – функциональный орган), функциональное подразделение администрации города Перми (далее – функциональное подразделение), являющееся ответственным и</w:t>
      </w:r>
      <w:r>
        <w:rPr>
          <w:sz w:val="28"/>
          <w:szCs w:val="28"/>
        </w:rPr>
        <w:t xml:space="preserve">сполнителем муниципальной программы, в рамках которой планируется осуществление капитальных вложений в объекты, а также ответственный за подготовку и реализацию бюджетных инвестиций, предоставление бюджетных ассигнований на осуществление за счет субсидий и</w:t>
      </w:r>
      <w:r>
        <w:rPr>
          <w:sz w:val="28"/>
          <w:szCs w:val="28"/>
        </w:rPr>
        <w:t xml:space="preserve">з бюджета города Перми муниципальными бюджетными </w:t>
      </w:r>
      <w:r>
        <w:rPr>
          <w:sz w:val="28"/>
          <w:szCs w:val="28"/>
        </w:rPr>
        <w:br/>
        <w:t xml:space="preserve">и автономными учреждениями, муниципальными унитарными предприятиями города Перми капитальных вложений в объекты (далее – Ответственный исполнитель);»;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09"/>
        <w:rPr>
          <w:sz w:val="24"/>
          <w:szCs w:val="24"/>
        </w:rPr>
      </w:pPr>
      <w:r>
        <w:t xml:space="preserve">1.8. пункт 1.2.12 изложить в следующей редакции: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4"/>
        <w:ind w:firstLine="709"/>
        <w:jc w:val="both"/>
      </w:pPr>
      <w:r>
        <w:t xml:space="preserve">«1.2.</w:t>
      </w:r>
      <w:r>
        <w:t xml:space="preserve">12. исполнитель – функциональный орган, ответственный </w:t>
      </w:r>
      <w:r>
        <w:br/>
        <w:t xml:space="preserve">за осуществление капитальных вложений в объекты, а также являющийся Ответственным исполнителем муниципального проекта в части осуществления капитальных вложений в объекты, муниципальное бюджетное или а</w:t>
      </w:r>
      <w:r>
        <w:t xml:space="preserve">втономное учреждение, муниципальное унитарное предприятие, Участник муниципальной программы (далее – Исполнитель);»;</w:t>
      </w:r>
      <w:r/>
    </w:p>
    <w:p>
      <w:pPr>
        <w:pStyle w:val="944"/>
        <w:ind w:firstLine="709"/>
        <w:jc w:val="both"/>
      </w:pPr>
      <w:r>
        <w:t xml:space="preserve">1.9. в пункте 1.2.13 слово «территориальный» исключить;</w:t>
      </w:r>
      <w:r/>
    </w:p>
    <w:p>
      <w:pPr>
        <w:pStyle w:val="944"/>
        <w:ind w:firstLine="709"/>
        <w:jc w:val="both"/>
      </w:pPr>
      <w:r>
        <w:t xml:space="preserve">1.10. абзац второй пункта 1.2.14 после слов «может выступать» дополнить словом «Исп</w:t>
      </w:r>
      <w:r>
        <w:t xml:space="preserve">олнителем,»;</w:t>
      </w:r>
      <w:r/>
    </w:p>
    <w:p>
      <w:pPr>
        <w:pStyle w:val="944"/>
        <w:ind w:firstLine="709"/>
        <w:jc w:val="both"/>
      </w:pPr>
      <w:r>
        <w:t xml:space="preserve">1.11. пункт 1.2.16 признать утратившим силу;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sz w:val="28"/>
          <w:szCs w:val="28"/>
        </w:rPr>
        <w:t xml:space="preserve">пункт 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Дополнительно в целях реализации настоящего Порядка принятия решений применяются следующие понятия: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</w:t>
      </w:r>
      <w:r>
        <w:rPr>
          <w:sz w:val="28"/>
          <w:szCs w:val="28"/>
        </w:rPr>
        <w:t xml:space="preserve">аммы, Участник муниципальной программы, муниципальная программа – применяются в понятиях, аналогичных понятиям, применяемым в Порядке разработки, реализации и оценки эффективности муниципальных программ города Перми, утвержденном постановлением администрац</w:t>
      </w:r>
      <w:r>
        <w:rPr>
          <w:sz w:val="28"/>
          <w:szCs w:val="28"/>
        </w:rPr>
        <w:t xml:space="preserve">ии города Перми от 02 сентября 2024 г. № 715 </w:t>
      </w:r>
      <w:r>
        <w:rPr>
          <w:sz w:val="28"/>
          <w:szCs w:val="28"/>
        </w:rPr>
        <w:br/>
        <w:t xml:space="preserve">(далее – Порядок разработки, реализации и оценки эффективности муниципальных программ);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проекта, муниципальный проектный офис – применяются в понятии, аналогичном понятию, применяемому</w:t>
      </w:r>
      <w:r>
        <w:rPr>
          <w:sz w:val="28"/>
          <w:szCs w:val="28"/>
        </w:rPr>
        <w:t xml:space="preserve"> в Положении</w:t>
      </w:r>
      <w:r>
        <w:rPr>
          <w:sz w:val="28"/>
          <w:szCs w:val="28"/>
        </w:rPr>
        <w:br/>
        <w:t xml:space="preserve">об организации проектной деятельности.»;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«2.9. В отношении капитальных вложений в объект, на который подготовлены документы, указанные в </w:t>
      </w:r>
      <w:hyperlink w:tooltip="2.7. При осуществлении оценки прогнозируемой эффективности предельное (минимальное) значение интегральной оценки прогнозируемой эффективности устанавливается равным:" w:anchor="P132" w:history="1">
        <w:r>
          <w:rPr>
            <w:sz w:val="28"/>
            <w:szCs w:val="28"/>
          </w:rPr>
          <w:t xml:space="preserve">пункте 2.7</w:t>
        </w:r>
      </w:hyperlink>
      <w:r>
        <w:rPr>
          <w:sz w:val="28"/>
          <w:szCs w:val="28"/>
        </w:rPr>
        <w:t xml:space="preserve"> настоящего Порядка принятия решений, инвестиционная комиссия принимает решение о целесообразности </w:t>
      </w:r>
      <w:r>
        <w:rPr>
          <w:sz w:val="28"/>
          <w:szCs w:val="28"/>
        </w:rPr>
        <w:br/>
        <w:t xml:space="preserve">или о неце</w:t>
      </w:r>
      <w:r>
        <w:rPr>
          <w:sz w:val="28"/>
          <w:szCs w:val="28"/>
        </w:rPr>
        <w:t xml:space="preserve">лесообразности осуществления капитальных вложений в объект. Решение о целесообразности включает в себя принятие решений об одобрении сметной стоимости строительства (реконструкции) или стоимости приобретения объекта, технико-экономических показателей и фун</w:t>
      </w:r>
      <w:r>
        <w:rPr>
          <w:sz w:val="28"/>
          <w:szCs w:val="28"/>
        </w:rPr>
        <w:t xml:space="preserve">кциональных параметров объекта, возможности предоставления бюджетных ассигнований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капитальных вложений в объект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(далее – решение </w:t>
        <w:br/>
        <w:t xml:space="preserve">о целесообразности осуществления капитальных вложений в объект)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принятии решения об одобрении сметной стоимости строительства (реконструкции) или стоимости приобретения объекта к одобре</w:t>
      </w:r>
      <w:r>
        <w:rPr>
          <w:sz w:val="28"/>
          <w:szCs w:val="28"/>
          <w:highlight w:val="none"/>
        </w:rPr>
        <w:t xml:space="preserve">нию принимается наибольшая по величине стоимость объекта, предусмотренная в Предложении </w:t>
        <w:br/>
        <w:t xml:space="preserve">об осуществлении капитальных вложений в объект.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ассмотрение инвестиционной комиссией указанных документов осуществляется</w:t>
      </w:r>
      <w:r>
        <w:rPr>
          <w:sz w:val="28"/>
          <w:szCs w:val="28"/>
          <w:highlight w:val="none"/>
        </w:rPr>
        <w:t xml:space="preserve"> не </w:t>
      </w:r>
      <w:r>
        <w:rPr>
          <w:sz w:val="28"/>
          <w:szCs w:val="28"/>
          <w:highlight w:val="none"/>
        </w:rPr>
        <w:t xml:space="preserve">ранее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чем через 5</w:t>
      </w:r>
      <w:r>
        <w:rPr>
          <w:sz w:val="28"/>
          <w:szCs w:val="28"/>
          <w:highlight w:val="none"/>
        </w:rPr>
        <w:t xml:space="preserve"> рабочих дней</w:t>
      </w:r>
      <w:r>
        <w:rPr>
          <w:sz w:val="28"/>
          <w:szCs w:val="28"/>
          <w:highlight w:val="none"/>
        </w:rPr>
        <w:t xml:space="preserve"> (при </w:t>
      </w:r>
      <w:r>
        <w:rPr>
          <w:sz w:val="28"/>
          <w:szCs w:val="28"/>
          <w:highlight w:val="none"/>
        </w:rPr>
        <w:t xml:space="preserve">проведении очного заседания</w:t>
      </w:r>
      <w:r>
        <w:rPr>
          <w:sz w:val="28"/>
          <w:szCs w:val="28"/>
          <w:highlight w:val="none"/>
        </w:rPr>
        <w:t xml:space="preserve">) или 3 рабочих дней (при </w:t>
      </w:r>
      <w:r>
        <w:rPr>
          <w:sz w:val="28"/>
          <w:szCs w:val="28"/>
          <w:highlight w:val="none"/>
        </w:rPr>
        <w:t xml:space="preserve">проведении заседания в форме заочного голосования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после их направления всем </w:t>
      </w:r>
      <w:r>
        <w:rPr>
          <w:sz w:val="28"/>
          <w:szCs w:val="28"/>
          <w:highlight w:val="none"/>
        </w:rPr>
        <w:t xml:space="preserve">членам инвестиционной комиссии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абзац второй пункта 2.12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«включение объектов муниципальной собственности города Пер</w:t>
      </w:r>
      <w:r>
        <w:rPr>
          <w:sz w:val="28"/>
          <w:szCs w:val="28"/>
          <w:highlight w:val="white"/>
        </w:rPr>
        <w:t xml:space="preserve">ми, </w:t>
      </w:r>
      <w:r>
        <w:rPr>
          <w:sz w:val="28"/>
          <w:szCs w:val="28"/>
          <w:highlight w:val="white"/>
        </w:rPr>
        <w:br/>
        <w:t xml:space="preserve">по которым инвестиционной комиссией приняты решения о целесообразности осуществления капитальных вложений в объект, об одобрении сметной стоимости строительства (реконструкции) или стоимости приобретения объекта, технико-экономических показателей и фу</w:t>
      </w:r>
      <w:r>
        <w:rPr>
          <w:sz w:val="28"/>
          <w:szCs w:val="28"/>
          <w:highlight w:val="white"/>
        </w:rPr>
        <w:t xml:space="preserve">нкциональных параметров объекта, </w:t>
        <w:br/>
        <w:t xml:space="preserve">но </w:t>
      </w:r>
      <w:r>
        <w:rPr>
          <w:sz w:val="28"/>
          <w:szCs w:val="28"/>
          <w:highlight w:val="none"/>
        </w:rPr>
        <w:t xml:space="preserve">отсутствует возможность предоставления бюджетных ассигнований </w:t>
      </w:r>
      <w:r>
        <w:rPr>
          <w:sz w:val="28"/>
          <w:szCs w:val="28"/>
          <w:highlight w:val="none"/>
        </w:rPr>
        <w:br/>
        <w:t xml:space="preserve">на осуществление капитальных вложений в объект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п</w:t>
      </w:r>
      <w:r>
        <w:rPr>
          <w:sz w:val="28"/>
          <w:szCs w:val="28"/>
          <w:highlight w:val="white"/>
        </w:rPr>
        <w:t xml:space="preserve">ортфель проектов </w:t>
        <w:br/>
        <w:t xml:space="preserve">в соответствии с установленным </w:t>
      </w:r>
      <w:hyperlink w:tooltip="ПОРЯДОК" w:anchor="P1056" w:history="1">
        <w:r>
          <w:rPr>
            <w:sz w:val="28"/>
            <w:szCs w:val="28"/>
            <w:highlight w:val="white"/>
          </w:rPr>
          <w:t xml:space="preserve">Порядком</w:t>
        </w:r>
      </w:hyperlink>
      <w:r>
        <w:rPr>
          <w:sz w:val="28"/>
          <w:szCs w:val="28"/>
          <w:highlight w:val="white"/>
        </w:rPr>
        <w:t xml:space="preserve"> управления портфелем проектов согласно приложению 5 к настоящему Порядку принятия ре</w:t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шений.»;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пункт 2.12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абзац второй пункта 2.19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пункт 2.27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«2.27. Заказчик в случае принятия инвестиционной комиссией решения </w:t>
      </w:r>
      <w:r>
        <w:rPr>
          <w:sz w:val="28"/>
          <w:szCs w:val="28"/>
          <w:highlight w:val="white"/>
        </w:rPr>
        <w:br/>
        <w:t xml:space="preserve">о возможности предоставления бюджетных ассигнований на осуществление капитальных вложений в объект дает поручение Ответственному исполнителю </w:t>
      </w:r>
      <w:r>
        <w:rPr>
          <w:sz w:val="28"/>
          <w:szCs w:val="28"/>
          <w:highlight w:val="white"/>
        </w:rPr>
        <w:br/>
        <w:t xml:space="preserve">о включении объектов капитального строительств</w:t>
      </w:r>
      <w:r>
        <w:rPr>
          <w:sz w:val="28"/>
          <w:szCs w:val="28"/>
          <w:highlight w:val="white"/>
        </w:rPr>
        <w:t xml:space="preserve">а и (или) объектов недвижимого имущества в проект правового акта об утверждении муниципальной программы или</w:t>
      </w:r>
      <w:r>
        <w:rPr>
          <w:sz w:val="28"/>
          <w:szCs w:val="28"/>
        </w:rPr>
        <w:t xml:space="preserve"> о внесении изменений в муниципальную программу.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объектов капитального строительства и (или) объектов недвижимого имущества в проект правов</w:t>
      </w:r>
      <w:r>
        <w:rPr>
          <w:sz w:val="28"/>
          <w:szCs w:val="28"/>
        </w:rPr>
        <w:t xml:space="preserve">ого акта об утверждении муниципальной программы или о внесении изменений в муниципальную программу осуществляется в соответствии с Порядком разработки, реализации </w:t>
      </w:r>
      <w:r>
        <w:rPr>
          <w:sz w:val="28"/>
          <w:szCs w:val="28"/>
        </w:rPr>
        <w:br/>
        <w:t xml:space="preserve">и оценки эффективности муниципальных программ.»;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пункт 2.28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пункт 2.29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дополнить пунктом 2.30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«2.30. Мун</w:t>
      </w:r>
      <w:r>
        <w:rPr>
          <w:sz w:val="28"/>
          <w:szCs w:val="28"/>
        </w:rPr>
        <w:t xml:space="preserve">иципальный проектный офис обеспечивает ведение реестра инвестиционных проектов. Источником информации для ведения реестра инвестиционных проектов служат постановления администрации города Перми </w:t>
      </w:r>
      <w:r>
        <w:rPr>
          <w:sz w:val="28"/>
          <w:szCs w:val="28"/>
        </w:rPr>
        <w:br/>
        <w:t xml:space="preserve">об утверждении муниципальной программы, внесении изменений </w:t>
      </w:r>
      <w:r>
        <w:rPr>
          <w:sz w:val="28"/>
          <w:szCs w:val="28"/>
        </w:rPr>
        <w:br/>
        <w:t xml:space="preserve">в</w:t>
      </w:r>
      <w:r>
        <w:rPr>
          <w:sz w:val="28"/>
          <w:szCs w:val="28"/>
        </w:rPr>
        <w:t xml:space="preserve"> муниципальную программу, прекращении реализации муниципальной программы, протокол инвестиционной комиссии, отчет о выполнении муниципальной программы за отчетный год.»;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1.21.1. в таблице: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1.21.1.1. строку 3 изложить в следующей редак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6"/>
        <w:gridCol w:w="6513"/>
      </w:tblGrid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функциональный орган администрации города Перми, функциональное подразделение администрации города Перми, являющееся ответственным исполнителем муниципальной программы, в рамках которой планируется осуществление капитальных</w:t>
            </w:r>
            <w:r>
              <w:rPr>
                <w:sz w:val="24"/>
                <w:szCs w:val="24"/>
              </w:rPr>
              <w:t xml:space="preserve"> вложений в объекты, а также ответственный за подготовку и реализацию бюджетных инвестиций, предоставление бюджетных ассигнований </w:t>
            </w:r>
            <w:r>
              <w:rPr>
                <w:sz w:val="24"/>
                <w:szCs w:val="24"/>
              </w:rPr>
              <w:br/>
              <w:t xml:space="preserve">на осуществление за счет субсидий из бюджета города Перми муниципальными бюджетными и автономными учреждениями, муниципальным</w:t>
            </w:r>
            <w:r>
              <w:rPr>
                <w:sz w:val="24"/>
                <w:szCs w:val="24"/>
              </w:rPr>
              <w:t xml:space="preserve">и унитарными предприятиями города Перми капитальных вложений </w:t>
            </w:r>
            <w:r>
              <w:rPr>
                <w:sz w:val="24"/>
                <w:szCs w:val="24"/>
              </w:rPr>
              <w:br/>
              <w:t xml:space="preserve">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1.21.1.2. строку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6"/>
        <w:gridCol w:w="6513"/>
      </w:tblGrid>
      <w:tr>
        <w:tblPrEx/>
        <w:trPr/>
        <w:tc>
          <w:tcPr>
            <w:tcW w:w="522" w:type="dxa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функциональный орган, ответственный за ос</w:t>
            </w:r>
            <w:r>
              <w:rPr>
                <w:sz w:val="24"/>
                <w:szCs w:val="24"/>
              </w:rPr>
              <w:t xml:space="preserve">уществление капитальных вложений в объекты, а также являющийся ответственным исполнителем муниципального проекта</w:t>
            </w:r>
            <w:r>
              <w:rPr>
                <w:sz w:val="24"/>
                <w:szCs w:val="24"/>
              </w:rPr>
              <w:br/>
              <w:t xml:space="preserve">в части осуществления капитальных вложений в объекты, муниципальное бюджетное или автономное учреждение, муниципальное унитарное предприятие, У</w:t>
            </w:r>
            <w:r>
              <w:rPr>
                <w:sz w:val="24"/>
                <w:szCs w:val="24"/>
              </w:rPr>
              <w:t xml:space="preserve">частник муниципальной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1.21.1.3. строку 22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"/>
        <w:gridCol w:w="2968"/>
        <w:gridCol w:w="65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9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944"/>
              <w:rPr>
                <w:color w:val="5b9bd5" w:themeColor="accent1"/>
              </w:rPr>
            </w:pPr>
            <w:r>
              <w:rPr>
                <w:sz w:val="24"/>
                <w:szCs w:val="24"/>
              </w:rPr>
              <w:t xml:space="preserve">Проектная документация и (или) результаты инженерных изысканий</w:t>
            </w:r>
            <w:r>
              <w:rPr>
                <w:color w:val="5b9bd5" w:themeColor="accent1"/>
              </w:rPr>
            </w:r>
            <w:r>
              <w:rPr>
                <w:color w:val="5b9bd5" w:themeColor="accen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4"/>
                <w:szCs w:val="24"/>
              </w:rPr>
              <w:t xml:space="preserve">указание на наличие проектной документации и (или) результатов инженерных изысканий, выполненных </w:t>
            </w:r>
            <w:r>
              <w:rPr>
                <w:sz w:val="24"/>
                <w:szCs w:val="24"/>
              </w:rPr>
              <w:br/>
              <w:t xml:space="preserve">для под</w:t>
            </w:r>
            <w:r>
              <w:rPr>
                <w:sz w:val="24"/>
                <w:szCs w:val="24"/>
              </w:rPr>
              <w:t xml:space="preserve">готовки такой проектной документации, разрешения на строительство, рабочей документации (или степень готовности данных документов). В случае приобретения объекта недвижимого имущества не требуется представление информации по проектной документации, разреше</w:t>
            </w:r>
            <w:r>
              <w:rPr>
                <w:sz w:val="24"/>
                <w:szCs w:val="24"/>
              </w:rPr>
              <w:t xml:space="preserve">ния на строительство, рабочей документации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1.21.2. сноску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</w:t>
      </w:r>
      <w:bookmarkStart w:id="1" w:name="undefined"/>
      <w:r/>
      <w:bookmarkEnd w:id="1"/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Сметная стоимость строительства (реконструкции) объекта по годам осуществления капитальных вложений в объект капитального строительства объекта недвижимого имущества по годам реализации – в разрезе источников финансирования с выделением объема инвестиций </w:t>
      </w:r>
      <w:r>
        <w:rPr>
          <w:sz w:val="28"/>
          <w:szCs w:val="28"/>
        </w:rPr>
        <w:t xml:space="preserve">на подготовку проектной документации и проведение инженерных изысканий, выполняемых для подготовки такой проектной документации, выполнение строительно-монтажных работ </w:t>
      </w:r>
      <w:r>
        <w:rPr>
          <w:sz w:val="28"/>
          <w:szCs w:val="28"/>
        </w:rPr>
        <w:br/>
        <w:t xml:space="preserve">по объекту, выполнение прочих видов работ.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При осуществлении бюджетных инвестиций на по</w:t>
      </w:r>
      <w:r>
        <w:rPr>
          <w:sz w:val="28"/>
          <w:szCs w:val="28"/>
        </w:rPr>
        <w:t xml:space="preserve">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требуются.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При подготовке Предложения об осущест</w:t>
      </w:r>
      <w:r>
        <w:rPr>
          <w:sz w:val="28"/>
          <w:szCs w:val="28"/>
        </w:rPr>
        <w:t xml:space="preserve">влении капитальных вложений </w:t>
      </w:r>
      <w:r>
        <w:rPr>
          <w:sz w:val="28"/>
          <w:szCs w:val="28"/>
        </w:rPr>
        <w:br/>
        <w:t xml:space="preserve">в объект муниципальной собственности города Перми по объектам капитального строительства в Предложении заполняются все строки, за исключением 11, 15, 18.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При подготовке Предложения об осуществлении капитальных вложений </w:t>
      </w:r>
      <w:r>
        <w:rPr>
          <w:sz w:val="28"/>
          <w:szCs w:val="28"/>
        </w:rPr>
        <w:br/>
        <w:t xml:space="preserve">в объек</w:t>
      </w:r>
      <w:r>
        <w:rPr>
          <w:sz w:val="28"/>
          <w:szCs w:val="28"/>
        </w:rPr>
        <w:t xml:space="preserve">т муниципальной собственности города Перми по объектам капитального строительства в Предложении строка 15 заполняется при необходимости приобретения земельных участков под новое строительство.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Предложения об осуществлении капитальных вложени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в объект муниципальной собственности города Перми по объектам недвижимого имущества, приобретаемым в муниципальную собственность, в Предложении заполняются все строки, за исключением строк 10, 12, 13, 16, 20, 21, 22, 23, 24, 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Предложения, не т</w:t>
      </w:r>
      <w:r>
        <w:rPr>
          <w:sz w:val="28"/>
          <w:szCs w:val="28"/>
        </w:rPr>
        <w:t xml:space="preserve">ребующие заполнения, в Предложение </w:t>
      </w:r>
      <w:r>
        <w:rPr>
          <w:sz w:val="28"/>
          <w:szCs w:val="28"/>
        </w:rPr>
        <w:br/>
        <w:t xml:space="preserve">не включаются.»;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1.21.3. в приложении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6"/>
        <w:gridCol w:w="1699"/>
        <w:gridCol w:w="1699"/>
        <w:gridCol w:w="1669"/>
        <w:gridCol w:w="1446"/>
      </w:tblGrid>
      <w:tr>
        <w:tblPrEx/>
        <w:trPr>
          <w:trHeight w:val="444"/>
        </w:trPr>
        <w:tc>
          <w:tcPr>
            <w:tcW w:w="522" w:type="dxa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1671" w:type="dxa"/>
            <w:textDirection w:val="lrTb"/>
            <w:noWrap w:val="false"/>
          </w:tcPr>
          <w:p>
            <w:r/>
            <w:r/>
          </w:p>
        </w:tc>
        <w:tc>
          <w:tcPr>
            <w:tcW w:w="1448" w:type="dxa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1.22.1. абзац второй пункта 2 дополнить предложением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</w:t>
      </w:r>
      <w:r>
        <w:rPr>
          <w:sz w:val="28"/>
          <w:szCs w:val="28"/>
        </w:rPr>
        <w:t xml:space="preserve">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требую</w:t>
      </w:r>
      <w:r>
        <w:rPr>
          <w:sz w:val="28"/>
          <w:szCs w:val="28"/>
        </w:rPr>
        <w:t xml:space="preserve">тся;»;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1.22.2. абзац второй пункта 6 дополнить предложением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</w:t>
      </w:r>
      <w:r>
        <w:rPr>
          <w:sz w:val="28"/>
          <w:szCs w:val="28"/>
        </w:rPr>
        <w:t xml:space="preserve">варительные расчеты стоимости строительства объекта, выполнения прочих работ не требуются;»;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1.22.3. в приложении: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1.22.3.1.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1"/>
        <w:gridCol w:w="3604"/>
        <w:gridCol w:w="5786"/>
      </w:tblGrid>
      <w:tr>
        <w:tblPrEx/>
        <w:trPr/>
        <w:tc>
          <w:tcPr>
            <w:tcW w:w="263" w:type="pc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19" w:type="pct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функциональный орган администрации города Перми, </w:t>
            </w:r>
            <w:r>
              <w:rPr>
                <w:sz w:val="24"/>
                <w:szCs w:val="24"/>
              </w:rPr>
              <w:t xml:space="preserve">функциональное подразделение администрации города Перми, являющееся ответственным исполнителем муниципальной программы, в рамках которой планируется осуществление капитальных вложений в объекты, а также ответственный за подготовку и реализацию бюджетных ин</w:t>
            </w:r>
            <w:r>
              <w:rPr>
                <w:sz w:val="24"/>
                <w:szCs w:val="24"/>
              </w:rPr>
              <w:t xml:space="preserve">вестиций, предоставление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1.22.3.2. строку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6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9"/>
        <w:gridCol w:w="3606"/>
        <w:gridCol w:w="58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4"/>
                <w:szCs w:val="24"/>
              </w:rPr>
              <w:t xml:space="preserve">Проектная документация и (или) результаты инженерных изысканий</w:t>
            </w:r>
            <w:r/>
          </w:p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4"/>
                <w:szCs w:val="24"/>
              </w:rPr>
              <w:t xml:space="preserve">указание на наличие проектной документации и (или) результатов инженерных изысканий, выполненных для подготовки такой проектной документации</w:t>
            </w:r>
            <w:r>
              <w:rPr>
                <w:sz w:val="24"/>
                <w:szCs w:val="24"/>
              </w:rPr>
              <w:t xml:space="preserve">, разрешения на строительство, рабочей документации (или степень готовности данных документов)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в приложении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1.23.1. абзац второй пункта 2 дополнить предложением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</w:rPr>
        <w:t xml:space="preserve">ются;»;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1.23.2. абзац второй пункта 5 дополнить предложением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</w:t>
      </w:r>
      <w:r>
        <w:rPr>
          <w:sz w:val="28"/>
          <w:szCs w:val="28"/>
        </w:rPr>
        <w:t xml:space="preserve">дварительные расчеты стоимости строительства объекта, выполнения прочих работ не требуются;»;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1.24.1. в абзаце пятом пункта 3.1 слова «бюджета Российской Федерации» заменить словами «федерального бюджета»;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1.24.2. в пункте 3.2.2: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</w:t>
      </w:r>
      <w:r>
        <w:rPr>
          <w:sz w:val="28"/>
          <w:szCs w:val="28"/>
        </w:rPr>
        <w:t xml:space="preserve">.2.1. в абзаце первом слова «бюджета Российской Федерации» заменить словами «федерального бюджета»;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1.24.2.2. в абзаце втором слова «Российской Федерации» заменить словами «федерального бюджета»;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1.24.3. пункт 3.2.3.1.4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</w:t>
      </w:r>
      <w:r>
        <w:rPr>
          <w:sz w:val="28"/>
          <w:szCs w:val="28"/>
        </w:rPr>
        <w:t xml:space="preserve">3.1.4. балл оценки подкритерия «Возможность обеспечения объекта капитального строительства инженерной инфраструктурой» определяется </w:t>
      </w:r>
      <w:r>
        <w:rPr>
          <w:sz w:val="28"/>
          <w:szCs w:val="28"/>
        </w:rPr>
        <w:br/>
        <w:t xml:space="preserve">по пятибалльной шкале: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средневзвешенный уровень обеспеченности планируемого объекта капитального строительства видами </w:t>
      </w:r>
      <w:r>
        <w:rPr>
          <w:sz w:val="28"/>
          <w:szCs w:val="28"/>
        </w:rPr>
        <w:t xml:space="preserve">необходимой инженерной инфраструктуры достигает размеров от 75 % до 100 % от требуемого количества видов необходимой инженерной инфраструктуры, то критерию присваивается балл, равный 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средневзвешенный уровень обеспеченности планируемого объекта капи</w:t>
      </w:r>
      <w:r>
        <w:rPr>
          <w:sz w:val="28"/>
          <w:szCs w:val="28"/>
        </w:rPr>
        <w:t xml:space="preserve">тального строительства видами необходимой инженерной инфраструктуры достигает размеров от 50 % до 74 % от требуемого количества видов необходимой инженерной инфраструктуры, то критерию присваивается балл, равный 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средневзвешенный уровень обеспеченно</w:t>
      </w:r>
      <w:r>
        <w:rPr>
          <w:sz w:val="28"/>
          <w:szCs w:val="28"/>
        </w:rPr>
        <w:t xml:space="preserve">сти планируемого объекта капитального строительства видами необходимой инженерной инфраструктуры достигает размеров менее 50 % от требуемого количества видов необходимой инженерной инфраструктуры, то критерию присваивается балл, равный 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</w:t>
      </w:r>
      <w:r>
        <w:rPr>
          <w:sz w:val="28"/>
          <w:szCs w:val="28"/>
        </w:rPr>
        <w:t xml:space="preserve">ия информации о возможности (невозможности) обеспечения объекта капитального строительства инженерной инфраструктурой критерию присваивается балл, равный 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потребности в обеспечении объекта капитального строительства видами необходимой</w:t>
      </w:r>
      <w:r>
        <w:rPr>
          <w:sz w:val="28"/>
          <w:szCs w:val="28"/>
        </w:rPr>
        <w:t xml:space="preserve"> инженерной инфраструктуры в силу его функционального назначения критерию присваивается балл, равный 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540"/>
        <w:jc w:val="both"/>
      </w:pPr>
      <w:r>
        <w:t xml:space="preserve">Средневзвешенный уровень обеспеченности планируемого объекта капитального строительства муниципальной собственности города Перми видами необходимой инже</w:t>
      </w:r>
      <w:r>
        <w:t xml:space="preserve">нерной инфраструктуры рассчитывается:</w:t>
      </w:r>
      <w:r/>
    </w:p>
    <w:p>
      <w:pPr>
        <w:pStyle w:val="944"/>
        <w:jc w:val="center"/>
      </w:pPr>
      <w:r/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84016" cy="321289"/>
                <wp:effectExtent l="0" t="0" r="0" b="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0941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1384016" cy="321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08.98pt;height:25.3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firstLine="709"/>
        <w:jc w:val="both"/>
      </w:pPr>
      <w:r>
        <w:t xml:space="preserve">k – обеспеченность объекта i-м видом необходимой инженерной инфраструктуры, ед.;</w:t>
      </w:r>
      <w:r/>
    </w:p>
    <w:p>
      <w:pPr>
        <w:pStyle w:val="944"/>
        <w:ind w:firstLine="709"/>
        <w:jc w:val="both"/>
      </w:pPr>
      <w:r>
        <w:t xml:space="preserve">n – количество видов необходимой инженерной инфраструктуры, ед.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определении уровня обеспеченности объекта капитального строительства инженерной инфраструктурой учитывается обеспеченность следующими видами инженерной инфраструктуры: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теплоснабжения;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водоотведения;»;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1.24.4. в абзаце пятом</w:t>
      </w:r>
      <w:r>
        <w:rPr>
          <w:sz w:val="28"/>
          <w:szCs w:val="28"/>
        </w:rPr>
        <w:t xml:space="preserve"> пункта 3.3 слова «бюджета Российской Федерации» заменить словами «федерального бюджета»;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1.24.5.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1.24.5.1.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17"/>
        <w:gridCol w:w="1157"/>
        <w:gridCol w:w="1158"/>
        <w:gridCol w:w="1158"/>
        <w:gridCol w:w="1158"/>
        <w:gridCol w:w="1157"/>
      </w:tblGrid>
      <w:tr>
        <w:tblPrEx/>
        <w:trPr>
          <w:trHeight w:val="444"/>
        </w:trPr>
        <w:tc>
          <w:tcPr>
            <w:tcW w:w="708" w:type="dxa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софинансирования капитальных вложений </w:t>
            </w:r>
            <w:r>
              <w:rPr>
                <w:sz w:val="24"/>
                <w:szCs w:val="24"/>
              </w:rPr>
              <w:br/>
              <w:t xml:space="preserve">в объекты муниципальной собственности г</w:t>
            </w:r>
            <w:r>
              <w:rPr>
                <w:sz w:val="24"/>
                <w:szCs w:val="24"/>
              </w:rPr>
              <w:t xml:space="preserve">орода Перми </w:t>
            </w:r>
            <w:r>
              <w:rPr>
                <w:sz w:val="24"/>
                <w:szCs w:val="24"/>
              </w:rPr>
              <w:br/>
              <w:t xml:space="preserve">из бюджета Пермского края, </w:t>
            </w:r>
            <w:r>
              <w:rPr>
                <w:sz w:val="24"/>
                <w:szCs w:val="24"/>
              </w:rPr>
              <w:br/>
              <w:t xml:space="preserve">и (или) федерального бюджета, и (или) за счет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1 % до 10 %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11 % до 24 %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25 % до 39 %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40 % до 49 %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49 %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1.24.5.2. строку 4.1.4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7"/>
        <w:gridCol w:w="1982"/>
        <w:gridCol w:w="1337"/>
        <w:gridCol w:w="1343"/>
        <w:gridCol w:w="1522"/>
        <w:gridCol w:w="1633"/>
        <w:gridCol w:w="13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обеспечения объекта капитального строительства инженерной инфраструктурой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944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strike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strike/>
                <w:color w:val="000000" w:themeColor="text1"/>
                <w:sz w:val="20"/>
                <w:szCs w:val="20"/>
              </w:rPr>
            </w:r>
            <w:r>
              <w:rPr>
                <w:strike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" w:type="dxa"/>
            <w:textDirection w:val="lrTb"/>
            <w:noWrap w:val="false"/>
          </w:tcPr>
          <w:p>
            <w:pPr>
              <w:pStyle w:val="94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менее 50 %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textDirection w:val="lrTb"/>
            <w:noWrap w:val="false"/>
          </w:tcPr>
          <w:p>
            <w:pPr>
              <w:pStyle w:val="9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 50 %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44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74 %</w:t>
            </w:r>
            <w:r>
              <w:rPr>
                <w:strike/>
                <w:color w:val="000000" w:themeColor="text1"/>
                <w:sz w:val="20"/>
                <w:szCs w:val="20"/>
              </w:rPr>
            </w:r>
            <w:r>
              <w:rPr>
                <w:strike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9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 75 %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4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100 %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1.24.6. в приложении 2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548"/>
        <w:gridCol w:w="2266"/>
      </w:tblGrid>
      <w:tr>
        <w:tblPrEx/>
        <w:trPr>
          <w:trHeight w:val="444"/>
        </w:trPr>
        <w:tc>
          <w:tcPr>
            <w:tcW w:w="708" w:type="dxa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софинансирования капитальных вложений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объекты муниципальной собственности города Перми </w:t>
            </w:r>
            <w:r>
              <w:rPr>
                <w:sz w:val="24"/>
                <w:szCs w:val="24"/>
              </w:rPr>
              <w:br/>
              <w:t xml:space="preserve">из бюджета Пермского края, </w:t>
            </w:r>
            <w:r>
              <w:rPr>
                <w:sz w:val="24"/>
                <w:szCs w:val="24"/>
              </w:rPr>
              <w:br/>
              <w:t xml:space="preserve">и (или) федерального бюджета, и (или) за счет внебюджетных источников (К3)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</w:t>
      </w:r>
      <w:r>
        <w:rPr>
          <w:sz w:val="28"/>
          <w:szCs w:val="28"/>
        </w:rPr>
        <w:t xml:space="preserve">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1"/>
    <w:uiPriority w:val="10"/>
    <w:rPr>
      <w:sz w:val="48"/>
      <w:szCs w:val="48"/>
    </w:rPr>
  </w:style>
  <w:style w:type="character" w:styleId="734">
    <w:name w:val="Subtitle Char"/>
    <w:basedOn w:val="749"/>
    <w:link w:val="763"/>
    <w:uiPriority w:val="11"/>
    <w:rPr>
      <w:sz w:val="24"/>
      <w:szCs w:val="24"/>
    </w:rPr>
  </w:style>
  <w:style w:type="character" w:styleId="735">
    <w:name w:val="Quote Char"/>
    <w:link w:val="765"/>
    <w:uiPriority w:val="29"/>
    <w:rPr>
      <w:i/>
    </w:rPr>
  </w:style>
  <w:style w:type="character" w:styleId="736">
    <w:name w:val="Intense Quote Char"/>
    <w:link w:val="767"/>
    <w:uiPriority w:val="30"/>
    <w:rPr>
      <w:i/>
    </w:rPr>
  </w:style>
  <w:style w:type="character" w:styleId="737">
    <w:name w:val="Footnote Text Char"/>
    <w:link w:val="897"/>
    <w:uiPriority w:val="99"/>
    <w:rPr>
      <w:sz w:val="18"/>
    </w:rPr>
  </w:style>
  <w:style w:type="character" w:styleId="738">
    <w:name w:val="Endnote Text Char"/>
    <w:link w:val="900"/>
    <w:uiPriority w:val="99"/>
    <w:rPr>
      <w:sz w:val="20"/>
    </w:rPr>
  </w:style>
  <w:style w:type="paragraph" w:styleId="739" w:default="1">
    <w:name w:val="Normal"/>
    <w:qFormat/>
  </w:style>
  <w:style w:type="paragraph" w:styleId="740">
    <w:name w:val="Heading 1"/>
    <w:basedOn w:val="739"/>
    <w:next w:val="739"/>
    <w:link w:val="752"/>
    <w:qFormat/>
    <w:pPr>
      <w:ind w:right="-1" w:firstLine="709"/>
      <w:jc w:val="both"/>
      <w:keepNext/>
      <w:outlineLvl w:val="0"/>
    </w:pPr>
    <w:rPr>
      <w:sz w:val="24"/>
    </w:rPr>
  </w:style>
  <w:style w:type="paragraph" w:styleId="741">
    <w:name w:val="Heading 2"/>
    <w:basedOn w:val="739"/>
    <w:next w:val="739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basedOn w:val="749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739"/>
    <w:next w:val="73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Название Знак"/>
    <w:basedOn w:val="749"/>
    <w:link w:val="761"/>
    <w:uiPriority w:val="10"/>
    <w:rPr>
      <w:sz w:val="48"/>
      <w:szCs w:val="48"/>
    </w:rPr>
  </w:style>
  <w:style w:type="paragraph" w:styleId="763">
    <w:name w:val="Subtitle"/>
    <w:basedOn w:val="739"/>
    <w:next w:val="73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basedOn w:val="749"/>
    <w:link w:val="763"/>
    <w:uiPriority w:val="11"/>
    <w:rPr>
      <w:sz w:val="24"/>
      <w:szCs w:val="24"/>
    </w:rPr>
  </w:style>
  <w:style w:type="paragraph" w:styleId="765">
    <w:name w:val="Quote"/>
    <w:basedOn w:val="739"/>
    <w:next w:val="739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9"/>
    <w:next w:val="739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49"/>
    <w:uiPriority w:val="99"/>
  </w:style>
  <w:style w:type="character" w:styleId="770" w:customStyle="1">
    <w:name w:val="Footer Char"/>
    <w:basedOn w:val="749"/>
    <w:uiPriority w:val="99"/>
  </w:style>
  <w:style w:type="character" w:styleId="771" w:customStyle="1">
    <w:name w:val="Caption Char"/>
    <w:uiPriority w:val="99"/>
  </w:style>
  <w:style w:type="table" w:styleId="772" w:customStyle="1">
    <w:name w:val="Table Grid Light"/>
    <w:basedOn w:val="75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3">
    <w:name w:val="Plain Table 1"/>
    <w:basedOn w:val="75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75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5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5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5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5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5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5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5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5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7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5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5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5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5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5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5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5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5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5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5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5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5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5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75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5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1" w:customStyle="1">
    <w:name w:val="Grid Table 4 - Accent 2"/>
    <w:basedOn w:val="75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75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75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75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basedOn w:val="75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>
    <w:name w:val="Grid Table 5 Dark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5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basedOn w:val="75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5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basedOn w:val="75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75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75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75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basedOn w:val="75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>
    <w:name w:val="Grid Table 7 Colorful"/>
    <w:basedOn w:val="75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basedOn w:val="75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basedOn w:val="75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basedOn w:val="75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basedOn w:val="75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basedOn w:val="75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basedOn w:val="75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75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5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5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5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5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5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5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75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5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5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5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5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5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5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7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5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5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5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5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5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5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75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5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5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5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5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5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5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75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5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5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5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5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5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5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basedOn w:val="75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5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basedOn w:val="75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75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75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75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8" w:customStyle="1">
    <w:name w:val="List Table 6 Colorful - Accent 6"/>
    <w:basedOn w:val="75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>
    <w:name w:val="List Table 7 Colorful"/>
    <w:basedOn w:val="75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basedOn w:val="75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basedOn w:val="75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basedOn w:val="75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basedOn w:val="75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basedOn w:val="75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basedOn w:val="75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Lined - Accent 2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Lined - Accent 6"/>
    <w:basedOn w:val="75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75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5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Bordered &amp; Lined - Accent 2"/>
    <w:basedOn w:val="75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75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75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75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Bordered &amp; Lined - Accent 6"/>
    <w:basedOn w:val="75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75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5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basedOn w:val="75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75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75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75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6" w:customStyle="1">
    <w:name w:val="Bordered - Accent 6"/>
    <w:basedOn w:val="75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7">
    <w:name w:val="footnote text"/>
    <w:basedOn w:val="739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749"/>
    <w:uiPriority w:val="99"/>
    <w:unhideWhenUsed/>
    <w:rPr>
      <w:vertAlign w:val="superscript"/>
    </w:rPr>
  </w:style>
  <w:style w:type="paragraph" w:styleId="900">
    <w:name w:val="endnote text"/>
    <w:basedOn w:val="739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49"/>
    <w:uiPriority w:val="99"/>
    <w:semiHidden/>
    <w:unhideWhenUsed/>
    <w:rPr>
      <w:vertAlign w:val="superscript"/>
    </w:rPr>
  </w:style>
  <w:style w:type="paragraph" w:styleId="903">
    <w:name w:val="toc 1"/>
    <w:basedOn w:val="739"/>
    <w:next w:val="739"/>
    <w:uiPriority w:val="39"/>
    <w:unhideWhenUsed/>
    <w:pPr>
      <w:spacing w:after="57"/>
    </w:pPr>
  </w:style>
  <w:style w:type="paragraph" w:styleId="904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05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06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07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08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09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0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1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9"/>
    <w:next w:val="739"/>
    <w:uiPriority w:val="99"/>
    <w:unhideWhenUsed/>
  </w:style>
  <w:style w:type="paragraph" w:styleId="914">
    <w:name w:val="Caption"/>
    <w:basedOn w:val="739"/>
    <w:next w:val="739"/>
    <w:link w:val="7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5">
    <w:name w:val="Body Text"/>
    <w:basedOn w:val="739"/>
    <w:link w:val="943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39"/>
    <w:pPr>
      <w:ind w:right="-1"/>
      <w:jc w:val="both"/>
    </w:pPr>
    <w:rPr>
      <w:sz w:val="26"/>
    </w:rPr>
  </w:style>
  <w:style w:type="paragraph" w:styleId="917">
    <w:name w:val="Footer"/>
    <w:basedOn w:val="739"/>
    <w:link w:val="1002"/>
    <w:uiPriority w:val="99"/>
    <w:pPr>
      <w:tabs>
        <w:tab w:val="center" w:pos="4153" w:leader="none"/>
        <w:tab w:val="right" w:pos="8306" w:leader="none"/>
      </w:tabs>
    </w:pPr>
  </w:style>
  <w:style w:type="character" w:styleId="918">
    <w:name w:val="page number"/>
    <w:basedOn w:val="749"/>
  </w:style>
  <w:style w:type="paragraph" w:styleId="919">
    <w:name w:val="Header"/>
    <w:basedOn w:val="739"/>
    <w:link w:val="922"/>
    <w:uiPriority w:val="99"/>
    <w:pPr>
      <w:tabs>
        <w:tab w:val="center" w:pos="4153" w:leader="none"/>
        <w:tab w:val="right" w:pos="8306" w:leader="none"/>
      </w:tabs>
    </w:pPr>
  </w:style>
  <w:style w:type="paragraph" w:styleId="920">
    <w:name w:val="Balloon Text"/>
    <w:basedOn w:val="739"/>
    <w:link w:val="921"/>
    <w:uiPriority w:val="99"/>
    <w:rPr>
      <w:rFonts w:ascii="Segoe UI" w:hAnsi="Segoe UI" w:cs="Segoe UI"/>
      <w:sz w:val="18"/>
      <w:szCs w:val="18"/>
    </w:rPr>
  </w:style>
  <w:style w:type="character" w:styleId="921" w:customStyle="1">
    <w:name w:val="Текст выноски Знак"/>
    <w:link w:val="920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Верхний колонтитул Знак"/>
    <w:link w:val="919"/>
    <w:uiPriority w:val="99"/>
  </w:style>
  <w:style w:type="numbering" w:styleId="923" w:customStyle="1">
    <w:name w:val="Нет списка1"/>
    <w:next w:val="751"/>
    <w:uiPriority w:val="99"/>
    <w:semiHidden/>
    <w:unhideWhenUsed/>
  </w:style>
  <w:style w:type="paragraph" w:styleId="9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5">
    <w:name w:val="Hyperlink"/>
    <w:uiPriority w:val="99"/>
    <w:unhideWhenUsed/>
    <w:rPr>
      <w:color w:val="0000ff"/>
      <w:u w:val="single"/>
    </w:rPr>
  </w:style>
  <w:style w:type="character" w:styleId="926">
    <w:name w:val="FollowedHyperlink"/>
    <w:uiPriority w:val="99"/>
    <w:unhideWhenUsed/>
    <w:rPr>
      <w:color w:val="800080"/>
      <w:u w:val="single"/>
    </w:rPr>
  </w:style>
  <w:style w:type="paragraph" w:styleId="927" w:customStyle="1">
    <w:name w:val="xl65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73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rPr>
      <w:sz w:val="28"/>
      <w:szCs w:val="28"/>
    </w:rPr>
  </w:style>
  <w:style w:type="character" w:styleId="943" w:customStyle="1">
    <w:name w:val="Основной текст Знак"/>
    <w:link w:val="915"/>
    <w:rPr>
      <w:rFonts w:ascii="Courier New" w:hAnsi="Courier New"/>
      <w:sz w:val="26"/>
    </w:rPr>
  </w:style>
  <w:style w:type="paragraph" w:styleId="944" w:customStyle="1">
    <w:name w:val="ConsPlusNormal"/>
    <w:rPr>
      <w:sz w:val="28"/>
      <w:szCs w:val="28"/>
    </w:rPr>
  </w:style>
  <w:style w:type="numbering" w:styleId="945" w:customStyle="1">
    <w:name w:val="Нет списка11"/>
    <w:next w:val="751"/>
    <w:uiPriority w:val="99"/>
    <w:semiHidden/>
    <w:unhideWhenUsed/>
  </w:style>
  <w:style w:type="numbering" w:styleId="946" w:customStyle="1">
    <w:name w:val="Нет списка111"/>
    <w:next w:val="751"/>
    <w:uiPriority w:val="99"/>
    <w:semiHidden/>
    <w:unhideWhenUsed/>
  </w:style>
  <w:style w:type="paragraph" w:styleId="947" w:customStyle="1">
    <w:name w:val="font5"/>
    <w:basedOn w:val="73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8" w:customStyle="1">
    <w:name w:val="xl8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1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2"/>
    <w:basedOn w:val="73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1">
    <w:name w:val="Table Grid"/>
    <w:basedOn w:val="75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 w:customStyle="1">
    <w:name w:val="xl8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8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9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0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9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4"/>
    <w:basedOn w:val="73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8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8" w:customStyle="1">
    <w:name w:val="xl99"/>
    <w:basedOn w:val="73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10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8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9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1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2"/>
    <w:basedOn w:val="73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2" w:customStyle="1">
    <w:name w:val="xl11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4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5"/>
    <w:basedOn w:val="73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5" w:customStyle="1">
    <w:name w:val="xl116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7"/>
    <w:basedOn w:val="73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9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1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2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5" w:customStyle="1">
    <w:name w:val="Нет списка2"/>
    <w:next w:val="751"/>
    <w:uiPriority w:val="99"/>
    <w:semiHidden/>
    <w:unhideWhenUsed/>
  </w:style>
  <w:style w:type="numbering" w:styleId="996" w:customStyle="1">
    <w:name w:val="Нет списка3"/>
    <w:next w:val="751"/>
    <w:uiPriority w:val="99"/>
    <w:semiHidden/>
    <w:unhideWhenUsed/>
  </w:style>
  <w:style w:type="paragraph" w:styleId="997" w:customStyle="1">
    <w:name w:val="font6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7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8"/>
    <w:basedOn w:val="73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0" w:customStyle="1">
    <w:name w:val="Нет списка4"/>
    <w:next w:val="751"/>
    <w:uiPriority w:val="99"/>
    <w:semiHidden/>
    <w:unhideWhenUsed/>
  </w:style>
  <w:style w:type="paragraph" w:styleId="1001">
    <w:name w:val="List Paragraph"/>
    <w:basedOn w:val="7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2" w:customStyle="1">
    <w:name w:val="Нижний колонтитул Знак"/>
    <w:link w:val="917"/>
    <w:uiPriority w:val="99"/>
  </w:style>
  <w:style w:type="paragraph" w:styleId="1003" w:customStyle="1">
    <w:name w:val="Text body"/>
    <w:qFormat/>
    <w:pPr>
      <w:spacing w:after="14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WenQuanYi Micro Hei" w:cs="Lohit Devanagari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2025-07-17T10:57:00Z</dcterms:created>
  <dcterms:modified xsi:type="dcterms:W3CDTF">2025-08-12T10:28:17Z</dcterms:modified>
</cp:coreProperties>
</file>