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8080" w:leader="none"/>
        </w:tabs>
        <w:rPr>
          <w:sz w:val="24"/>
        </w:rPr>
      </w:pPr>
      <w:r>
        <w:rPr>
          <w:sz w:val="20"/>
          <w:szCs w:val="20"/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97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97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firstLine="0"/>
        <w:jc w:val="left"/>
        <w:spacing w:after="720" w:line="240" w:lineRule="auto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</w:r>
      <w:r>
        <w:rPr>
          <w:spacing w:val="50"/>
          <w:sz w:val="32"/>
          <w:szCs w:val="32"/>
        </w:rPr>
      </w:r>
      <w:r>
        <w:rPr>
          <w:spacing w:val="50"/>
          <w:sz w:val="32"/>
          <w:szCs w:val="32"/>
        </w:rPr>
      </w:r>
    </w:p>
    <w:p>
      <w:pPr>
        <w:ind w:firstLine="0"/>
        <w:jc w:val="center"/>
        <w:spacing w:after="720" w:line="240" w:lineRule="auto"/>
        <w:rPr>
          <w:b/>
          <w:bCs/>
        </w:rPr>
      </w:pPr>
      <w:r>
        <w:rPr>
          <w:b/>
          <w:szCs w:val="28"/>
        </w:rPr>
        <w:t xml:space="preserve">О внесении изменений в решение Пермской городской Думы от 25.09.2007 № 226 «О мерах социальной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поддержки руководителей и педагогических работников муниципальных образовательных учреждений города Перми»</w:t>
      </w:r>
      <w:r>
        <w:rPr>
          <w:b/>
          <w:bCs/>
        </w:rPr>
      </w:r>
      <w:r>
        <w:rPr>
          <w:b/>
          <w:bCs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от 20.03.2025 № 33-ФЗ «Об общих принципах организации местного самоуправления в единой системе публич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ной власти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города Перми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center"/>
        <w:spacing w:line="240" w:lineRule="auto"/>
        <w:rPr>
          <w:b/>
          <w:bCs/>
          <w:spacing w:val="50"/>
        </w:rPr>
      </w:pPr>
      <w:r>
        <w:t xml:space="preserve">Пермская городская Дума </w:t>
      </w:r>
      <w:r>
        <w:rPr>
          <w:b/>
        </w:rPr>
        <w:t xml:space="preserve">р е ш и </w:t>
      </w:r>
      <w:r>
        <w:rPr>
          <w:b/>
        </w:rPr>
        <w:t xml:space="preserve">л</w:t>
      </w:r>
      <w:r>
        <w:rPr>
          <w:b/>
        </w:rPr>
        <w:t xml:space="preserve"> а:</w:t>
      </w:r>
      <w:r>
        <w:rPr>
          <w:b/>
          <w:bCs/>
          <w:spacing w:val="50"/>
        </w:rPr>
      </w:r>
      <w:r>
        <w:rPr>
          <w:b/>
          <w:bCs/>
          <w:spacing w:val="50"/>
        </w:rPr>
      </w:r>
    </w:p>
    <w:p>
      <w:pPr>
        <w:ind w:firstLine="0"/>
        <w:jc w:val="center"/>
        <w:spacing w:line="240" w:lineRule="auto"/>
        <w:rPr>
          <w:b/>
          <w:bCs/>
          <w:spacing w:val="50"/>
        </w:rPr>
      </w:pPr>
      <w:r>
        <w:rPr>
          <w:b/>
          <w:bCs/>
          <w:spacing w:val="50"/>
        </w:rPr>
      </w:r>
      <w:r>
        <w:rPr>
          <w:b/>
          <w:bCs/>
          <w:spacing w:val="50"/>
        </w:rPr>
      </w:r>
      <w:r>
        <w:rPr>
          <w:b/>
          <w:bCs/>
          <w:spacing w:val="50"/>
        </w:rPr>
      </w:r>
    </w:p>
    <w:p>
      <w:pPr>
        <w:pStyle w:val="9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25.09.2007 </w:t>
      </w:r>
      <w:r>
        <w:rPr>
          <w:rFonts w:ascii="Times New Roman" w:hAnsi="Times New Roman" w:cs="Times New Roman"/>
          <w:sz w:val="28"/>
          <w:szCs w:val="28"/>
        </w:rPr>
        <w:t xml:space="preserve">№ 226 «О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мерах социальной поддержки руководителей и педагогических работников муниципальных образовательных учреждений города Перми»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решений Пермской городской Думы от 27.11.2007 </w:t>
      </w:r>
      <w:hyperlink r:id="rId11" w:tooltip="https://login.consultant.ru/link/?req=doc&amp;base=RLAW368&amp;n=30551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279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24.08.2010 </w:t>
      </w:r>
      <w:hyperlink r:id="rId12" w:tooltip="https://login.consultant.ru/link/?req=doc&amp;base=RLAW368&amp;n=45439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120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 01.02.2011 </w:t>
      </w:r>
      <w:hyperlink r:id="rId13" w:tooltip="https://login.consultant.ru/link/?req=doc&amp;base=RLAW368&amp;n=48310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26.06.2012 </w:t>
      </w:r>
      <w:hyperlink r:id="rId14" w:tooltip="https://login.consultant.ru/link/?req=doc&amp;base=RLAW368&amp;n=59152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111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26.08.2014 </w:t>
      </w:r>
      <w:hyperlink r:id="rId15" w:tooltip="https://login.consultant.ru/link/?req=doc&amp;base=RLAW368&amp;n=76660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147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16" w:tooltip="https://login.consultant.ru/link/?req=doc&amp;base=RLAW368&amp;n=115515&amp;dst=100013" w:history="1">
        <w:r>
          <w:rPr>
            <w:rFonts w:ascii="Times New Roman" w:hAnsi="Times New Roman" w:cs="Times New Roman"/>
            <w:sz w:val="28"/>
            <w:szCs w:val="28"/>
          </w:rPr>
          <w:t xml:space="preserve">№ 109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22.09.2020 </w:t>
      </w:r>
      <w:hyperlink r:id="rId17" w:tooltip="https://login.consultant.ru/link/?req=doc&amp;base=RLAW368&amp;n=144014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189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28.02.2023 </w:t>
      </w:r>
      <w:hyperlink r:id="rId18" w:tooltip="https://login.consultant.ru/link/?req=doc&amp;base=RLAW368&amp;n=177781&amp;dst=100005" w:history="1">
        <w:r>
          <w:rPr>
            <w:rFonts w:ascii="Times New Roman" w:hAnsi="Times New Roman" w:cs="Times New Roman"/>
            <w:sz w:val="28"/>
            <w:szCs w:val="28"/>
          </w:rPr>
          <w:t xml:space="preserve">№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19.12.2023 </w:t>
      </w:r>
      <w:hyperlink r:id="rId19" w:tooltip="https://login.consultant.ru/link/?req=doc&amp;base=RLAW368&amp;n=189597&amp;dst=100011" w:history="1">
        <w:r>
          <w:rPr>
            <w:rFonts w:ascii="Times New Roman" w:hAnsi="Times New Roman" w:cs="Times New Roman"/>
            <w:sz w:val="28"/>
            <w:szCs w:val="28"/>
          </w:rPr>
          <w:t xml:space="preserve">№ 275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23.04.2024 № 75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  <w:highlight w:val="white"/>
        </w:rPr>
        <w:t xml:space="preserve">1.1 в преамбул</w:t>
      </w:r>
      <w:r>
        <w:rPr>
          <w:szCs w:val="28"/>
          <w:highlight w:val="white"/>
        </w:rPr>
        <w:t xml:space="preserve">е</w:t>
      </w:r>
      <w:r>
        <w:rPr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  <w:highlight w:val="white"/>
        </w:rPr>
        <w:t xml:space="preserve">1.1.1 слова </w:t>
      </w:r>
      <w:r>
        <w:rPr>
          <w:color w:val="000000" w:themeColor="text1"/>
          <w:szCs w:val="28"/>
          <w:highlight w:val="white"/>
        </w:rPr>
        <w:t xml:space="preserve">«Федеральным </w:t>
      </w:r>
      <w:r>
        <w:rPr>
          <w:color w:val="000000" w:themeColor="text1"/>
          <w:szCs w:val="28"/>
          <w:highlight w:val="white"/>
        </w:rPr>
        <w:t xml:space="preserve">законом</w:t>
      </w:r>
      <w:r>
        <w:rPr>
          <w:color w:val="000000" w:themeColor="text1"/>
          <w:szCs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 заменить словами «Федеральным законом от </w:t>
      </w:r>
      <w:r>
        <w:rPr>
          <w:color w:val="000000"/>
          <w:spacing w:val="-4"/>
          <w:szCs w:val="28"/>
          <w:highlight w:val="white"/>
        </w:rPr>
        <w:t xml:space="preserve">20.03.2025 № 33-ФЗ «Об общих принципах организации местного самоуправления в единой системе публичной власти»</w:t>
      </w:r>
      <w:r>
        <w:rPr>
          <w:color w:val="000000" w:themeColor="text1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1.1.2 </w:t>
      </w:r>
      <w:r>
        <w:rPr>
          <w:color w:val="000000" w:themeColor="text1"/>
          <w:szCs w:val="28"/>
          <w:highlight w:val="white"/>
        </w:rPr>
        <w:t xml:space="preserve">слова «за счет субвенций из бюджета Пермского края» заменить словами «</w:t>
      </w:r>
      <w:r>
        <w:rPr>
          <w:color w:val="000000" w:themeColor="text1"/>
          <w:szCs w:val="28"/>
          <w:highlight w:val="white"/>
        </w:rPr>
        <w:t xml:space="preserve">за </w:t>
      </w:r>
      <w:bookmarkStart w:id="0" w:name="_GoBack"/>
      <w:r/>
      <w:bookmarkEnd w:id="0"/>
      <w:r>
        <w:rPr>
          <w:color w:val="000000" w:themeColor="text1"/>
          <w:szCs w:val="28"/>
          <w:highlight w:val="white"/>
        </w:rPr>
        <w:t xml:space="preserve">счет субвенций, </w:t>
      </w:r>
      <w:r>
        <w:rPr>
          <w:color w:val="000000"/>
          <w:szCs w:val="28"/>
          <w:highlight w:val="white"/>
        </w:rPr>
        <w:t xml:space="preserve">формирующих единую субвенцию из бюджета Пермского края бюджетам муниципальных образований Пермского края на</w:t>
      </w:r>
      <w:r>
        <w:rPr>
          <w:color w:val="000000"/>
          <w:szCs w:val="28"/>
          <w:highlight w:val="white"/>
        </w:rPr>
        <w:t xml:space="preserve"> </w:t>
      </w:r>
      <w:r>
        <w:rPr>
          <w:color w:val="000000"/>
          <w:szCs w:val="28"/>
          <w:highlight w:val="white"/>
        </w:rPr>
        <w:t xml:space="preserve">выполнение отдельных государственных полномочий в сфере </w:t>
      </w:r>
      <w:r>
        <w:rPr>
          <w:color w:val="000000"/>
          <w:szCs w:val="28"/>
          <w:highlight w:val="white"/>
        </w:rPr>
        <w:t xml:space="preserve">образования»; 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709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1.2 в Положении о</w:t>
      </w:r>
      <w:r>
        <w:rPr>
          <w:color w:val="000000"/>
          <w:szCs w:val="28"/>
        </w:rPr>
        <w:t xml:space="preserve"> мерах социальной поддержки руководителей и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педагогических работников муниципальных образовательных учреждений города Перми</w:t>
      </w:r>
      <w:r>
        <w:rPr>
          <w:szCs w:val="28"/>
        </w:rPr>
        <w:t xml:space="preserve">:</w:t>
      </w:r>
      <w:r/>
    </w:p>
    <w:p>
      <w:pPr>
        <w:ind w:firstLine="709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1.2.1 в пункте 1.1 слова </w:t>
      </w:r>
      <w:r>
        <w:rPr>
          <w:color w:val="000000" w:themeColor="text1"/>
          <w:szCs w:val="28"/>
          <w:highlight w:val="white"/>
        </w:rPr>
        <w:t xml:space="preserve">«Федерального </w:t>
      </w:r>
      <w:r>
        <w:rPr>
          <w:color w:val="000000" w:themeColor="text1"/>
          <w:szCs w:val="28"/>
          <w:highlight w:val="white"/>
        </w:rPr>
        <w:t xml:space="preserve">закона</w:t>
      </w:r>
      <w:r>
        <w:rPr>
          <w:color w:val="000000" w:themeColor="text1"/>
          <w:szCs w:val="28"/>
          <w:highlight w:val="white"/>
        </w:rPr>
        <w:t xml:space="preserve"> от 06.10.2003 № 131-ФЗ «Об</w:t>
      </w:r>
      <w:r>
        <w:rPr>
          <w:color w:val="000000" w:themeColor="text1"/>
          <w:szCs w:val="28"/>
          <w:highlight w:val="white"/>
        </w:rPr>
        <w:t xml:space="preserve"> </w:t>
      </w:r>
      <w:r>
        <w:rPr>
          <w:color w:val="000000" w:themeColor="text1"/>
          <w:szCs w:val="28"/>
          <w:highlight w:val="white"/>
        </w:rPr>
        <w:t xml:space="preserve">общих принципах организации местного самоуправления в Российской Федерации» заменить словами «Федерального закона от </w:t>
      </w:r>
      <w:r>
        <w:rPr>
          <w:color w:val="000000"/>
          <w:spacing w:val="-4"/>
          <w:szCs w:val="28"/>
          <w:highlight w:val="white"/>
        </w:rPr>
        <w:t xml:space="preserve">20.03.2025 № 33-ФЗ </w:t>
      </w:r>
      <w:r>
        <w:rPr>
          <w:color w:val="000000"/>
          <w:spacing w:val="-4"/>
          <w:szCs w:val="28"/>
          <w:highlight w:val="white"/>
        </w:rPr>
        <w:t xml:space="preserve">«Об</w:t>
      </w:r>
      <w:r>
        <w:rPr>
          <w:color w:val="000000"/>
          <w:spacing w:val="-4"/>
          <w:szCs w:val="28"/>
          <w:highlight w:val="white"/>
        </w:rPr>
        <w:t xml:space="preserve"> </w:t>
      </w:r>
      <w:r>
        <w:rPr>
          <w:color w:val="000000"/>
          <w:spacing w:val="-4"/>
          <w:szCs w:val="28"/>
          <w:highlight w:val="white"/>
        </w:rPr>
        <w:t xml:space="preserve">общих принципах организации местного самоуправления в единой системе публичной власти»</w:t>
      </w:r>
      <w:r>
        <w:rPr>
          <w:color w:val="000000" w:themeColor="text1"/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</w:t>
      </w:r>
      <w:r/>
    </w:p>
    <w:p>
      <w:pPr>
        <w:ind w:firstLine="709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1.2.2 в абзаце втором пункта 1.2 слова «</w:t>
      </w:r>
      <w:r>
        <w:rPr>
          <w:color w:val="000000"/>
          <w:szCs w:val="28"/>
        </w:rPr>
        <w:t xml:space="preserve">за счет субвенций из бюджета Пермского края» заменить словами «за счет субвенций, формирующих единую субвенцию </w:t>
      </w:r>
      <w:r>
        <w:rPr>
          <w:color w:val="000000"/>
          <w:szCs w:val="28"/>
          <w:highlight w:val="white"/>
        </w:rPr>
        <w:t xml:space="preserve">из бюджета Пермского края бюджетам муниципальных образований Пермского края </w:t>
      </w:r>
      <w:r>
        <w:rPr>
          <w:color w:val="000000"/>
          <w:szCs w:val="28"/>
        </w:rPr>
        <w:t xml:space="preserve">на выполнение отдельных госу</w:t>
      </w:r>
      <w:r>
        <w:rPr>
          <w:color w:val="000000"/>
          <w:szCs w:val="28"/>
        </w:rPr>
        <w:t xml:space="preserve">дарственных полномочий в сфере образования»;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1.2.3 </w:t>
      </w:r>
      <w:r>
        <w:rPr>
          <w:color w:val="000000"/>
          <w:szCs w:val="28"/>
        </w:rPr>
        <w:t xml:space="preserve">абзацы первый, второй </w:t>
      </w:r>
      <w:r>
        <w:rPr>
          <w:color w:val="000000"/>
          <w:szCs w:val="28"/>
        </w:rPr>
        <w:t xml:space="preserve">подпункта 2.1.1 </w:t>
      </w:r>
      <w:r>
        <w:rPr>
          <w:color w:val="000000"/>
          <w:szCs w:val="28"/>
        </w:rPr>
        <w:t xml:space="preserve">изложить в редакции: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spacing w:line="240" w:lineRule="auto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«2.1.1. единовременное пособие в размере 100 000 руб. Право на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единовременное пособие сохраняется </w:t>
      </w:r>
      <w:r>
        <w:rPr>
          <w:color w:val="000000" w:themeColor="text1"/>
          <w:szCs w:val="28"/>
        </w:rPr>
        <w:t xml:space="preserve">до истечения</w:t>
      </w:r>
      <w:r>
        <w:rPr>
          <w:color w:val="000000"/>
          <w:szCs w:val="28"/>
        </w:rPr>
        <w:t xml:space="preserve"> двух лет со дня окончания образо</w:t>
      </w:r>
      <w:r>
        <w:rPr>
          <w:color w:val="000000"/>
          <w:szCs w:val="28"/>
        </w:rPr>
        <w:t xml:space="preserve">вательной организации. В указанный период не включается срок прохождения военной службы по призыву в Вооруженных Силах Российской Федерации, отпуск по беременности и родам, отпуск по уходу за ребенком. Единовременное пособие выплачивается при соблюдении сл</w:t>
      </w:r>
      <w:r>
        <w:rPr>
          <w:color w:val="000000"/>
          <w:szCs w:val="28"/>
        </w:rPr>
        <w:t xml:space="preserve">едующих условий: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spacing w:line="240" w:lineRule="auto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трудоустройство для лица, поступающего на работу, является первым после окончания обучения в организации среднего профессионального или высшего образования (за исключением случаев трудоустройства по срочному трудовому договору, прекращенно</w:t>
      </w:r>
      <w:r>
        <w:rPr>
          <w:color w:val="000000"/>
          <w:szCs w:val="28"/>
        </w:rPr>
        <w:t xml:space="preserve">му не позднее 31 августа года окончания обучения </w:t>
      </w:r>
      <w:r>
        <w:rPr>
          <w:color w:val="000000"/>
          <w:szCs w:val="28"/>
          <w:highlight w:val="white"/>
        </w:rPr>
        <w:t xml:space="preserve">в</w:t>
      </w:r>
      <w:r>
        <w:rPr>
          <w:color w:val="000000"/>
          <w:szCs w:val="28"/>
          <w:highlight w:val="white"/>
        </w:rPr>
        <w:t xml:space="preserve"> </w:t>
      </w:r>
      <w:r>
        <w:rPr>
          <w:color w:val="000000"/>
          <w:szCs w:val="28"/>
          <w:highlight w:val="white"/>
        </w:rPr>
        <w:t xml:space="preserve">организации среднего профессионального или высшего образования;</w:t>
      </w:r>
      <w:r>
        <w:rPr>
          <w:color w:val="000000"/>
          <w:szCs w:val="28"/>
        </w:rPr>
        <w:t xml:space="preserve"> </w:t>
      </w:r>
      <w:r>
        <w:rPr>
          <w:color w:val="000000" w:themeColor="text1"/>
          <w:szCs w:val="28"/>
        </w:rPr>
        <w:t xml:space="preserve">допуска в установленном порядке к занятию педагогической деятельностью по</w:t>
      </w:r>
      <w:r>
        <w:rPr>
          <w:color w:val="000000" w:themeColor="text1"/>
          <w:szCs w:val="28"/>
        </w:rPr>
        <w:t xml:space="preserve"> </w:t>
      </w:r>
      <w:r>
        <w:rPr>
          <w:color w:val="000000" w:themeColor="text1"/>
          <w:szCs w:val="28"/>
        </w:rPr>
        <w:t xml:space="preserve">общеобразовательным программам в период обучения по образовательны</w:t>
      </w:r>
      <w:r>
        <w:rPr>
          <w:color w:val="000000" w:themeColor="text1"/>
          <w:szCs w:val="28"/>
        </w:rPr>
        <w:t xml:space="preserve">м программам высшего образования или к занятию педагогической деятельностью по образовательным программам дошкольного образования и начального общего образования в период обучения по образовательным программам среднего профессионального образования</w:t>
      </w:r>
      <w:r>
        <w:rPr>
          <w:color w:val="000000"/>
          <w:szCs w:val="28"/>
        </w:rPr>
        <w:t xml:space="preserve">). Днем </w:t>
      </w:r>
      <w:r>
        <w:rPr>
          <w:color w:val="000000"/>
          <w:szCs w:val="28"/>
        </w:rPr>
        <w:t xml:space="preserve">окончания обучения в организации среднего профессионального или высшего образования является дата выдачи документа об образовании;».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firstLine="709"/>
        <w:spacing w:line="240" w:lineRule="auto"/>
        <w:rPr>
          <w:szCs w:val="28"/>
          <w:highlight w:val="yellow"/>
        </w:rPr>
      </w:pPr>
      <w:r>
        <w:rPr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</w:t>
      </w:r>
      <w:r>
        <w:rPr>
          <w:szCs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Cs w:val="28"/>
          <w:highlight w:val="yellow"/>
        </w:rPr>
      </w:r>
    </w:p>
    <w:p>
      <w:pPr>
        <w:ind w:firstLine="709"/>
        <w:spacing w:line="240" w:lineRule="auto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zCs w:val="28"/>
        </w:rPr>
        <w:t xml:space="preserve"> </w:t>
      </w:r>
      <w:r>
        <w:rPr>
          <w:szCs w:val="28"/>
        </w:rPr>
        <w:t xml:space="preserve">также в сетевом издании «Официальный сайт муниц</w:t>
      </w:r>
      <w:r>
        <w:rPr>
          <w:szCs w:val="28"/>
        </w:rPr>
        <w:t xml:space="preserve">ипального образования город Пермь www.gorodperm.ru».</w:t>
      </w:r>
      <w:r>
        <w:rPr>
          <w:szCs w:val="28"/>
        </w:rPr>
      </w:r>
      <w:r>
        <w:rPr>
          <w:szCs w:val="28"/>
        </w:rPr>
      </w:r>
    </w:p>
    <w:p>
      <w:pPr>
        <w:pStyle w:val="904"/>
        <w:ind w:firstLine="709"/>
        <w:spacing w:line="240" w:lineRule="auto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  <w:r>
        <w:rPr>
          <w:szCs w:val="28"/>
        </w:rPr>
      </w:r>
      <w:r>
        <w:rPr>
          <w:szCs w:val="28"/>
        </w:rPr>
      </w:r>
    </w:p>
    <w:p>
      <w:pPr>
        <w:ind w:firstLine="0"/>
        <w:spacing w:line="240" w:lineRule="auto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0"/>
        <w:spacing w:line="240" w:lineRule="auto"/>
        <w:tabs>
          <w:tab w:val="left" w:pos="900" w:leader="none"/>
        </w:tabs>
        <w:rPr>
          <w:color w:val="000000"/>
          <w:szCs w:val="28"/>
          <w:shd w:val="clear" w:color="auto" w:fill="ffffff"/>
        </w:rPr>
        <w:outlineLvl w:val="1"/>
      </w:pPr>
      <w:r>
        <w:rPr>
          <w:color w:val="000000"/>
          <w:szCs w:val="28"/>
          <w:shd w:val="clear" w:color="auto" w:fill="ffffff"/>
        </w:rPr>
      </w:r>
      <w:r>
        <w:rPr>
          <w:color w:val="000000"/>
          <w:szCs w:val="28"/>
          <w:shd w:val="clear" w:color="auto" w:fill="ffffff"/>
        </w:rPr>
      </w:r>
      <w:r>
        <w:rPr>
          <w:color w:val="000000"/>
          <w:szCs w:val="28"/>
          <w:shd w:val="clear" w:color="auto" w:fill="ffffff"/>
        </w:rPr>
      </w:r>
    </w:p>
    <w:p>
      <w:pPr>
        <w:ind w:firstLine="0"/>
        <w:spacing w:line="240" w:lineRule="auto"/>
        <w:tabs>
          <w:tab w:val="left" w:pos="900" w:leader="none"/>
        </w:tabs>
        <w:rPr>
          <w:color w:val="000000"/>
          <w:szCs w:val="28"/>
          <w:shd w:val="clear" w:color="auto" w:fill="ffffff"/>
        </w:rPr>
        <w:outlineLvl w:val="1"/>
      </w:pPr>
      <w:r>
        <w:rPr>
          <w:color w:val="000000"/>
          <w:szCs w:val="28"/>
          <w:shd w:val="clear" w:color="auto" w:fill="ffffff"/>
        </w:rPr>
        <w:t xml:space="preserve">Председатель </w:t>
      </w:r>
      <w:r>
        <w:rPr>
          <w:color w:val="000000"/>
          <w:szCs w:val="28"/>
          <w:shd w:val="clear" w:color="auto" w:fill="ffffff"/>
        </w:rPr>
      </w:r>
      <w:r>
        <w:rPr>
          <w:color w:val="000000"/>
          <w:szCs w:val="28"/>
          <w:shd w:val="clear" w:color="auto" w:fill="ffffff"/>
        </w:rPr>
      </w:r>
    </w:p>
    <w:p>
      <w:pPr>
        <w:ind w:firstLine="0"/>
        <w:spacing w:line="240" w:lineRule="auto"/>
        <w:tabs>
          <w:tab w:val="left" w:pos="900" w:leader="none"/>
        </w:tabs>
        <w:rPr>
          <w:szCs w:val="28"/>
        </w:rPr>
        <w:outlineLvl w:val="1"/>
      </w:pPr>
      <w:r>
        <w:rPr>
          <w:color w:val="000000"/>
          <w:szCs w:val="28"/>
          <w:shd w:val="clear" w:color="auto" w:fill="ffffff"/>
        </w:rPr>
        <w:t xml:space="preserve">Пермской городской Думы</w:t>
      </w:r>
      <w:r>
        <w:rPr>
          <w:szCs w:val="28"/>
        </w:rPr>
        <w:tab/>
        <w:t xml:space="preserve">                                           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Д.В. Малютин</w:t>
      </w:r>
      <w:r>
        <w:rPr>
          <w:szCs w:val="28"/>
        </w:rPr>
      </w:r>
      <w:r>
        <w:rPr>
          <w:szCs w:val="28"/>
        </w:rPr>
      </w:r>
    </w:p>
    <w:p>
      <w:pPr>
        <w:ind w:firstLine="0"/>
        <w:spacing w:line="240" w:lineRule="auto"/>
        <w:tabs>
          <w:tab w:val="left" w:pos="900" w:leader="none"/>
        </w:tabs>
        <w:rPr>
          <w:szCs w:val="28"/>
          <w:highlight w:val="yellow"/>
        </w:rPr>
        <w:outlineLvl w:val="1"/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ind w:firstLine="0"/>
        <w:spacing w:line="240" w:lineRule="auto"/>
        <w:tabs>
          <w:tab w:val="left" w:pos="900" w:leader="none"/>
        </w:tabs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spacing w:line="240" w:lineRule="auto"/>
        <w:tabs>
          <w:tab w:val="left" w:pos="900" w:leader="none"/>
        </w:tabs>
        <w:rPr>
          <w:szCs w:val="28"/>
        </w:rPr>
        <w:outlineLvl w:val="1"/>
      </w:pPr>
      <w:r>
        <w:rPr>
          <w:szCs w:val="28"/>
        </w:rPr>
        <w:t xml:space="preserve">Глава города Перми                                                                                    </w:t>
      </w:r>
      <w:r>
        <w:rPr>
          <w:szCs w:val="28"/>
        </w:rPr>
        <w:t xml:space="preserve"> Э.О. Соснин</w:t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  <w:p>
      <w:r/>
      <w:r/>
    </w:p>
  </w:endnote>
  <w:endnote w:type="continuationSeparator" w:id="0">
    <w:p>
      <w:pPr>
        <w:spacing w:line="240" w:lineRule="auto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  <w:p>
      <w:r/>
      <w:r/>
    </w:p>
  </w:footnote>
  <w:footnote w:type="continuationSeparator" w:id="0">
    <w:p>
      <w:pPr>
        <w:spacing w:line="240" w:lineRule="auto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63063188"/>
      <w:docPartObj>
        <w:docPartGallery w:val="Page Numbers (Top of Page)"/>
        <w:docPartUnique w:val="true"/>
      </w:docPartObj>
      <w:rPr/>
    </w:sdtPr>
    <w:sdtContent>
      <w:p>
        <w:pPr>
          <w:pStyle w:val="897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97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  <w:b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ind w:firstLine="720"/>
      <w:jc w:val="both"/>
      <w:spacing w:line="360" w:lineRule="exact"/>
    </w:pPr>
    <w:rPr>
      <w:sz w:val="28"/>
      <w:szCs w:val="24"/>
    </w:rPr>
  </w:style>
  <w:style w:type="paragraph" w:styleId="705">
    <w:name w:val="Heading 1"/>
    <w:basedOn w:val="704"/>
    <w:next w:val="704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</w:style>
  <w:style w:type="paragraph" w:styleId="742">
    <w:name w:val="Title"/>
    <w:basedOn w:val="704"/>
    <w:next w:val="704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basedOn w:val="714"/>
    <w:link w:val="742"/>
    <w:uiPriority w:val="10"/>
    <w:rPr>
      <w:sz w:val="48"/>
      <w:szCs w:val="48"/>
    </w:rPr>
  </w:style>
  <w:style w:type="paragraph" w:styleId="744">
    <w:name w:val="Subtitle"/>
    <w:basedOn w:val="704"/>
    <w:next w:val="704"/>
    <w:link w:val="745"/>
    <w:uiPriority w:val="11"/>
    <w:qFormat/>
    <w:pPr>
      <w:spacing w:before="200" w:after="200"/>
    </w:pPr>
    <w:rPr>
      <w:sz w:val="24"/>
    </w:rPr>
  </w:style>
  <w:style w:type="character" w:styleId="745" w:customStyle="1">
    <w:name w:val="Подзаголовок Знак"/>
    <w:basedOn w:val="714"/>
    <w:link w:val="744"/>
    <w:uiPriority w:val="11"/>
    <w:rPr>
      <w:sz w:val="24"/>
      <w:szCs w:val="24"/>
    </w:rPr>
  </w:style>
  <w:style w:type="paragraph" w:styleId="746">
    <w:name w:val="Quote"/>
    <w:basedOn w:val="704"/>
    <w:next w:val="704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4"/>
    <w:next w:val="704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14"/>
    <w:uiPriority w:val="99"/>
  </w:style>
  <w:style w:type="character" w:styleId="751" w:customStyle="1">
    <w:name w:val="Footer Char"/>
    <w:basedOn w:val="714"/>
    <w:uiPriority w:val="99"/>
  </w:style>
  <w:style w:type="paragraph" w:styleId="752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15"/>
    <w:link w:val="9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15"/>
    <w:uiPriority w:val="99"/>
    <w:rPr>
      <w:color w:val="40404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15"/>
    <w:uiPriority w:val="99"/>
    <w:rPr>
      <w:color w:val="404040"/>
      <w:lang w:eastAsia="ko-K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04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14"/>
    <w:uiPriority w:val="99"/>
    <w:unhideWhenUsed/>
    <w:rPr>
      <w:vertAlign w:val="superscript"/>
    </w:rPr>
  </w:style>
  <w:style w:type="paragraph" w:styleId="883">
    <w:name w:val="endnote text"/>
    <w:basedOn w:val="704"/>
    <w:link w:val="884"/>
    <w:uiPriority w:val="99"/>
    <w:semiHidden/>
    <w:unhideWhenUsed/>
    <w:pPr>
      <w:spacing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4"/>
    <w:uiPriority w:val="99"/>
    <w:semiHidden/>
    <w:unhideWhenUsed/>
    <w:rPr>
      <w:vertAlign w:val="superscript"/>
    </w:rPr>
  </w:style>
  <w:style w:type="paragraph" w:styleId="886">
    <w:name w:val="toc 1"/>
    <w:basedOn w:val="704"/>
    <w:next w:val="704"/>
    <w:uiPriority w:val="39"/>
    <w:unhideWhenUsed/>
    <w:pPr>
      <w:ind w:firstLine="0"/>
      <w:spacing w:after="57"/>
    </w:pPr>
  </w:style>
  <w:style w:type="paragraph" w:styleId="887">
    <w:name w:val="toc 2"/>
    <w:basedOn w:val="704"/>
    <w:next w:val="704"/>
    <w:uiPriority w:val="39"/>
    <w:unhideWhenUsed/>
    <w:pPr>
      <w:ind w:left="283" w:firstLine="0"/>
      <w:spacing w:after="57"/>
    </w:pPr>
  </w:style>
  <w:style w:type="paragraph" w:styleId="888">
    <w:name w:val="toc 3"/>
    <w:basedOn w:val="704"/>
    <w:next w:val="704"/>
    <w:uiPriority w:val="39"/>
    <w:unhideWhenUsed/>
    <w:pPr>
      <w:ind w:left="567" w:firstLine="0"/>
      <w:spacing w:after="57"/>
    </w:pPr>
  </w:style>
  <w:style w:type="paragraph" w:styleId="889">
    <w:name w:val="toc 4"/>
    <w:basedOn w:val="704"/>
    <w:next w:val="704"/>
    <w:uiPriority w:val="39"/>
    <w:unhideWhenUsed/>
    <w:pPr>
      <w:ind w:left="850" w:firstLine="0"/>
      <w:spacing w:after="57"/>
    </w:pPr>
  </w:style>
  <w:style w:type="paragraph" w:styleId="890">
    <w:name w:val="toc 5"/>
    <w:basedOn w:val="704"/>
    <w:next w:val="704"/>
    <w:uiPriority w:val="39"/>
    <w:unhideWhenUsed/>
    <w:pPr>
      <w:ind w:left="1134" w:firstLine="0"/>
      <w:spacing w:after="57"/>
    </w:pPr>
  </w:style>
  <w:style w:type="paragraph" w:styleId="891">
    <w:name w:val="toc 6"/>
    <w:basedOn w:val="704"/>
    <w:next w:val="704"/>
    <w:uiPriority w:val="39"/>
    <w:unhideWhenUsed/>
    <w:pPr>
      <w:ind w:left="1417" w:firstLine="0"/>
      <w:spacing w:after="57"/>
    </w:pPr>
  </w:style>
  <w:style w:type="paragraph" w:styleId="892">
    <w:name w:val="toc 7"/>
    <w:basedOn w:val="704"/>
    <w:next w:val="704"/>
    <w:uiPriority w:val="39"/>
    <w:unhideWhenUsed/>
    <w:pPr>
      <w:ind w:left="1701" w:firstLine="0"/>
      <w:spacing w:after="57"/>
    </w:pPr>
  </w:style>
  <w:style w:type="paragraph" w:styleId="893">
    <w:name w:val="toc 8"/>
    <w:basedOn w:val="704"/>
    <w:next w:val="704"/>
    <w:uiPriority w:val="39"/>
    <w:unhideWhenUsed/>
    <w:pPr>
      <w:ind w:left="1984" w:firstLine="0"/>
      <w:spacing w:after="57"/>
    </w:pPr>
  </w:style>
  <w:style w:type="paragraph" w:styleId="894">
    <w:name w:val="toc 9"/>
    <w:basedOn w:val="704"/>
    <w:next w:val="704"/>
    <w:uiPriority w:val="39"/>
    <w:unhideWhenUsed/>
    <w:pPr>
      <w:ind w:left="2268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4"/>
    <w:next w:val="704"/>
    <w:uiPriority w:val="99"/>
    <w:unhideWhenUsed/>
  </w:style>
  <w:style w:type="paragraph" w:styleId="897">
    <w:name w:val="Header"/>
    <w:link w:val="898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898" w:customStyle="1">
    <w:name w:val="Верхний колонтитул Знак"/>
    <w:link w:val="897"/>
    <w:uiPriority w:val="99"/>
    <w:rPr>
      <w:sz w:val="16"/>
    </w:rPr>
  </w:style>
  <w:style w:type="paragraph" w:styleId="899">
    <w:name w:val="Footer"/>
    <w:link w:val="900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character" w:styleId="900" w:customStyle="1">
    <w:name w:val="Нижний колонтитул Знак"/>
    <w:link w:val="899"/>
    <w:rPr>
      <w:sz w:val="16"/>
      <w:szCs w:val="24"/>
    </w:rPr>
  </w:style>
  <w:style w:type="paragraph" w:styleId="901" w:customStyle="1">
    <w:name w:val="Форма"/>
    <w:rPr>
      <w:sz w:val="28"/>
      <w:szCs w:val="28"/>
    </w:rPr>
  </w:style>
  <w:style w:type="paragraph" w:styleId="902" w:customStyle="1">
    <w:name w:val="Регистр"/>
    <w:rPr>
      <w:sz w:val="28"/>
    </w:rPr>
  </w:style>
  <w:style w:type="paragraph" w:styleId="903" w:customStyle="1">
    <w:name w:val="Исполнитель"/>
    <w:basedOn w:val="904"/>
    <w:pPr>
      <w:ind w:firstLine="0"/>
      <w:jc w:val="left"/>
      <w:spacing w:line="240" w:lineRule="exact"/>
    </w:pPr>
    <w:rPr>
      <w:sz w:val="24"/>
      <w:szCs w:val="20"/>
    </w:rPr>
  </w:style>
  <w:style w:type="paragraph" w:styleId="904">
    <w:name w:val="Body Text"/>
    <w:basedOn w:val="704"/>
    <w:link w:val="905"/>
  </w:style>
  <w:style w:type="character" w:styleId="905" w:customStyle="1">
    <w:name w:val="Основной текст Знак"/>
    <w:link w:val="904"/>
    <w:rPr>
      <w:sz w:val="28"/>
      <w:szCs w:val="24"/>
    </w:rPr>
  </w:style>
  <w:style w:type="paragraph" w:styleId="906" w:customStyle="1">
    <w:name w:val="Заголовок к тексту"/>
    <w:basedOn w:val="704"/>
    <w:next w:val="904"/>
    <w:pPr>
      <w:ind w:firstLine="0"/>
      <w:jc w:val="left"/>
      <w:spacing w:after="480" w:line="240" w:lineRule="exact"/>
    </w:pPr>
    <w:rPr>
      <w:b/>
      <w:szCs w:val="20"/>
    </w:rPr>
  </w:style>
  <w:style w:type="paragraph" w:styleId="907">
    <w:name w:val="List Paragraph"/>
    <w:basedOn w:val="704"/>
    <w:uiPriority w:val="34"/>
    <w:qFormat/>
    <w:pPr>
      <w:contextualSpacing/>
      <w:ind w:left="720" w:firstLine="0"/>
      <w:jc w:val="left"/>
      <w:spacing w:line="240" w:lineRule="auto"/>
    </w:pPr>
    <w:rPr>
      <w:sz w:val="24"/>
    </w:rPr>
  </w:style>
  <w:style w:type="paragraph" w:styleId="908" w:customStyle="1">
    <w:name w:val="formattext"/>
    <w:basedOn w:val="704"/>
    <w:pPr>
      <w:ind w:firstLine="0"/>
      <w:jc w:val="left"/>
      <w:spacing w:before="100" w:beforeAutospacing="1" w:after="100" w:afterAutospacing="1" w:line="240" w:lineRule="auto"/>
    </w:pPr>
    <w:rPr>
      <w:sz w:val="24"/>
    </w:rPr>
  </w:style>
  <w:style w:type="character" w:styleId="909">
    <w:name w:val="Hyperlink"/>
    <w:basedOn w:val="714"/>
    <w:uiPriority w:val="99"/>
    <w:unhideWhenUsed/>
    <w:rPr>
      <w:color w:val="0000ff"/>
      <w:u w:val="single"/>
    </w:rPr>
  </w:style>
  <w:style w:type="paragraph" w:styleId="91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11">
    <w:name w:val="Normal (Web)"/>
    <w:basedOn w:val="704"/>
    <w:uiPriority w:val="99"/>
    <w:unhideWhenUsed/>
    <w:pPr>
      <w:ind w:firstLine="0"/>
      <w:jc w:val="left"/>
      <w:spacing w:before="100" w:beforeAutospacing="1" w:after="100" w:afterAutospacing="1" w:line="240" w:lineRule="auto"/>
    </w:pPr>
    <w:rPr>
      <w:sz w:val="24"/>
    </w:rPr>
  </w:style>
  <w:style w:type="paragraph" w:styleId="912" w:customStyle="1">
    <w:name w:val="Название объекта1"/>
    <w:basedOn w:val="704"/>
    <w:next w:val="704"/>
    <w:uiPriority w:val="35"/>
    <w:semiHidden/>
    <w:unhideWhenUsed/>
    <w:qFormat/>
    <w:pPr>
      <w:ind w:firstLine="0"/>
      <w:jc w:val="left"/>
      <w:spacing w:after="200" w:line="240" w:lineRule="auto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913">
    <w:name w:val="Balloon Text"/>
    <w:basedOn w:val="704"/>
    <w:link w:val="914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4"/>
    <w:link w:val="913"/>
    <w:semiHidden/>
    <w:rPr>
      <w:rFonts w:ascii="Tahoma" w:hAnsi="Tahoma" w:cs="Tahoma"/>
      <w:sz w:val="16"/>
      <w:szCs w:val="16"/>
    </w:rPr>
  </w:style>
  <w:style w:type="paragraph" w:styleId="915" w:customStyle="1">
    <w:name w:val="Основной текст1"/>
    <w:link w:val="863"/>
    <w:pPr>
      <w:ind w:firstLine="709"/>
      <w:jc w:val="both"/>
      <w:spacing w:line="360" w:lineRule="exac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368&amp;n=30551&amp;dst=100005" TargetMode="External"/><Relationship Id="rId12" Type="http://schemas.openxmlformats.org/officeDocument/2006/relationships/hyperlink" Target="https://login.consultant.ru/link/?req=doc&amp;base=RLAW368&amp;n=45439&amp;dst=100005" TargetMode="External"/><Relationship Id="rId13" Type="http://schemas.openxmlformats.org/officeDocument/2006/relationships/hyperlink" Target="https://login.consultant.ru/link/?req=doc&amp;base=RLAW368&amp;n=48310&amp;dst=100005" TargetMode="External"/><Relationship Id="rId14" Type="http://schemas.openxmlformats.org/officeDocument/2006/relationships/hyperlink" Target="https://login.consultant.ru/link/?req=doc&amp;base=RLAW368&amp;n=59152&amp;dst=100005" TargetMode="External"/><Relationship Id="rId15" Type="http://schemas.openxmlformats.org/officeDocument/2006/relationships/hyperlink" Target="https://login.consultant.ru/link/?req=doc&amp;base=RLAW368&amp;n=76660&amp;dst=100005" TargetMode="External"/><Relationship Id="rId16" Type="http://schemas.openxmlformats.org/officeDocument/2006/relationships/hyperlink" Target="https://login.consultant.ru/link/?req=doc&amp;base=RLAW368&amp;n=115515&amp;dst=100013" TargetMode="External"/><Relationship Id="rId17" Type="http://schemas.openxmlformats.org/officeDocument/2006/relationships/hyperlink" Target="https://login.consultant.ru/link/?req=doc&amp;base=RLAW368&amp;n=144014&amp;dst=100005" TargetMode="External"/><Relationship Id="rId18" Type="http://schemas.openxmlformats.org/officeDocument/2006/relationships/hyperlink" Target="https://login.consultant.ru/link/?req=doc&amp;base=RLAW368&amp;n=177781&amp;dst=100005" TargetMode="External"/><Relationship Id="rId19" Type="http://schemas.openxmlformats.org/officeDocument/2006/relationships/hyperlink" Target="https://login.consultant.ru/link/?req=doc&amp;base=RLAW368&amp;n=189597&amp;dst=100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revision>31</cp:revision>
  <dcterms:created xsi:type="dcterms:W3CDTF">2024-03-27T09:06:00Z</dcterms:created>
  <dcterms:modified xsi:type="dcterms:W3CDTF">2025-08-04T10:43:20Z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