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20.08.2025</w:t>
        <w:tab/>
        <w:tab/>
        <w:tab/>
        <w:t xml:space="preserve">059-16-01-03-117</w:t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5521" w:firstLine="0"/>
        <w:tabs>
          <w:tab w:val="left" w:pos="3969" w:leader="none"/>
        </w:tabs>
      </w:pPr>
      <w:r>
        <w:rPr>
          <w:b/>
          <w:color w:val="000000"/>
        </w:rPr>
        <w:t xml:space="preserve">О сносе самовольной постройки (1-этажный гаражный бокс), расположенной на земельном</w:t>
      </w:r>
      <w:r/>
    </w:p>
    <w:p>
      <w:pPr>
        <w:pStyle w:val="896"/>
        <w:ind w:left="0" w:right="5521" w:firstLine="0"/>
        <w:tabs>
          <w:tab w:val="left" w:pos="3969" w:leader="none"/>
        </w:tabs>
      </w:pPr>
      <w:r>
        <w:rPr>
          <w:b/>
          <w:color w:val="000000"/>
        </w:rPr>
        <w:t xml:space="preserve">участке с кадастровым номером 59:01:4410844:2537 слева от гаражного бокса по адресу: г. Пермь, </w:t>
      </w:r>
      <w:r>
        <w:rPr>
          <w:b/>
          <w:color w:val="000000"/>
        </w:rPr>
        <w:t xml:space="preserve">ул. Качалова, з/у 17а</w:t>
      </w:r>
      <w:r>
        <w:rPr>
          <w:b/>
          <w:color w:val="000000"/>
        </w:rPr>
      </w:r>
      <w:r/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 от </w:t>
      </w:r>
      <w:r>
        <w:t xml:space="preserve">15.</w:t>
      </w:r>
      <w:r>
        <w:t xml:space="preserve">05.2025</w:t>
      </w:r>
      <w:r>
        <w:t xml:space="preserve"> № 7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ой </w:t>
      </w:r>
      <w:r>
        <w:t xml:space="preserve">постройки</w:t>
      </w:r>
      <w:r>
        <w:t xml:space="preserve">, расположенной </w:t>
      </w:r>
      <w:r>
        <w:t xml:space="preserve">расположенной на земельном </w:t>
      </w:r>
      <w:r>
        <w:t xml:space="preserve">участке</w:t>
        <w:br/>
        <w:t xml:space="preserve">с кадастровым номером 59:01:4410844:2537 слева от гаражного бокса по адресу: г. Пермь, ул. Качалова, з/у 17а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19 ноября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соответствии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администрации района</w:t>
        <w:tab/>
        <w:tab/>
        <w:tab/>
        <w:tab/>
        <w:tab/>
        <w:tab/>
        <w:t xml:space="preserve"> А.К. Сенокосов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36</cp:revision>
  <dcterms:created xsi:type="dcterms:W3CDTF">2023-06-13T07:33:00Z</dcterms:created>
  <dcterms:modified xsi:type="dcterms:W3CDTF">2025-08-20T03:36:28Z</dcterms:modified>
  <cp:version>1048576</cp:version>
</cp:coreProperties>
</file>