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ind w:right="0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69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9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9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2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2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5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9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5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</w:t>
      </w:r>
      <w:r>
        <w:rPr>
          <w:b/>
          <w:bCs/>
          <w:sz w:val="28"/>
          <w:szCs w:val="28"/>
        </w:rPr>
      </w:r>
    </w:p>
    <w:p>
      <w:pPr>
        <w:pStyle w:val="69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объема и условий</w:t>
      </w:r>
      <w:r>
        <w:rPr>
          <w:b/>
          <w:bCs/>
          <w:sz w:val="28"/>
          <w:szCs w:val="28"/>
        </w:rPr>
      </w:r>
    </w:p>
    <w:p>
      <w:pPr>
        <w:pStyle w:val="69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на иные</w:t>
      </w:r>
      <w:r>
        <w:rPr>
          <w:b/>
          <w:bCs/>
          <w:sz w:val="28"/>
          <w:szCs w:val="28"/>
        </w:rPr>
      </w:r>
    </w:p>
    <w:p>
      <w:pPr>
        <w:pStyle w:val="69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муниципальному бюджетному учреждению «Полигон», подведомственному департаменту жилищно-коммунального хозяйства</w:t>
      </w:r>
      <w:r>
        <w:rPr>
          <w:b/>
          <w:bCs/>
          <w:sz w:val="28"/>
          <w:szCs w:val="28"/>
        </w:rPr>
      </w:r>
    </w:p>
    <w:p>
      <w:pPr>
        <w:pStyle w:val="69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Перми,</w:t>
      </w:r>
      <w:r>
        <w:rPr>
          <w:b/>
          <w:bCs/>
          <w:sz w:val="28"/>
          <w:szCs w:val="28"/>
        </w:rPr>
      </w:r>
    </w:p>
    <w:p>
      <w:pPr>
        <w:pStyle w:val="69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создание мест о</w:t>
      </w:r>
      <w:r>
        <w:rPr>
          <w:b/>
          <w:bCs/>
          <w:sz w:val="28"/>
          <w:szCs w:val="28"/>
        </w:rPr>
        <w:t xml:space="preserve">твала снега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</w:t>
      </w:r>
      <w:r>
        <w:rPr>
          <w:sz w:val="28"/>
          <w:szCs w:val="28"/>
        </w:rPr>
        <w:t xml:space="preserve">ствии с абзацем вторым пункта 1 статьи</w:t>
      </w:r>
      <w:r>
        <w:rPr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</w:t>
        <w:br/>
        <w:t xml:space="preserve">от 22 февраля 2020 г. № 203 «Об общих требованиях к нормативным правовым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там и муниципальным пра</w:t>
      </w:r>
      <w:r>
        <w:rPr>
          <w:sz w:val="28"/>
          <w:szCs w:val="28"/>
        </w:rPr>
        <w:t xml:space="preserve">вовым актам, устанавливающим порядок определения объема и условия предоставления бюджетным и автономным учре</w:t>
      </w:r>
      <w:r>
        <w:rPr>
          <w:sz w:val="28"/>
          <w:szCs w:val="28"/>
        </w:rPr>
        <w:t xml:space="preserve">ждениям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</w:t>
      </w:r>
      <w:r>
        <w:t xml:space="preserve"> </w:t>
      </w:r>
      <w:r>
        <w:rPr>
          <w:sz w:val="28"/>
          <w:szCs w:val="28"/>
        </w:rPr>
        <w:t xml:space="preserve">определения объема и условий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</w:t>
      </w:r>
      <w:r>
        <w:rPr>
          <w:sz w:val="28"/>
          <w:szCs w:val="28"/>
        </w:rPr>
        <w:t xml:space="preserve"> субсидий на иные цели муниципальному бюджетному учреждению «Полигон», подведомственному департаменту жилищно-коммунального хозя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администрации города Перми,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создание мест отвала снега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 свое действие на правоотношения, возникшие </w:t>
        <w:br/>
        <w:t xml:space="preserve">с 01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</w:t>
      </w:r>
      <w:r>
        <w:rPr>
          <w:sz w:val="28"/>
          <w:szCs w:val="28"/>
        </w:rPr>
        <w:t xml:space="preserve">ению администрации города Перми обеспечить опубликование (обнародование) настоящего постановления </w:t>
        <w:br w:type="textWrapping" w:clear="all"/>
        <w:t xml:space="preserve">на официальном сайте муниципального образования город Пермь </w:t>
        <w:br/>
        <w:t xml:space="preserve">в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Интернет.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</w:t>
      </w:r>
      <w:r>
        <w:rPr>
          <w:sz w:val="28"/>
          <w:szCs w:val="28"/>
        </w:rPr>
        <w:t xml:space="preserve">вления возложить </w:t>
        <w:br/>
        <w:t xml:space="preserve">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</w:t>
      </w:r>
      <w:r>
        <w:rPr>
          <w:sz w:val="28"/>
          <w:szCs w:val="28"/>
        </w:rPr>
        <w:t xml:space="preserve">Балахнина А</w:t>
      </w:r>
      <w:r>
        <w:rPr>
          <w:sz w:val="28"/>
          <w:szCs w:val="28"/>
        </w:rPr>
        <w:t xml:space="preserve">.А.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5529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</w:r>
    </w:p>
    <w:p>
      <w:pPr>
        <w:pStyle w:val="695"/>
        <w:ind w:firstLine="5529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pStyle w:val="695"/>
        <w:ind w:firstLine="5529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pStyle w:val="695"/>
        <w:ind w:firstLine="5529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</w:p>
    <w:p>
      <w:pPr>
        <w:pStyle w:val="695"/>
        <w:jc w:val="both"/>
        <w:spacing w:line="72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</w:rPr>
      </w:pPr>
      <w:r>
        <w:rPr>
          <w:b/>
        </w:rPr>
        <w:t xml:space="preserve">ПОРЯДОК</w:t>
      </w:r>
      <w:r>
        <w:rPr>
          <w:b/>
        </w:rPr>
      </w:r>
    </w:p>
    <w:p>
      <w:pPr>
        <w:pStyle w:val="731"/>
        <w:jc w:val="center"/>
        <w:spacing w:line="240" w:lineRule="exact"/>
        <w:rPr>
          <w:b/>
        </w:rPr>
      </w:pPr>
      <w:r>
        <w:rPr>
          <w:b/>
        </w:rPr>
        <w:t xml:space="preserve">определения объема и условий предоставления субсидий на иные цели муници</w:t>
      </w:r>
      <w:r>
        <w:rPr>
          <w:b/>
        </w:rPr>
        <w:t xml:space="preserve">пальному бюджетному учреждению «Полигон», подведомственному департаменту жилищно-коммунального хозяйства администрации города Перми, н</w:t>
      </w:r>
      <w:r>
        <w:rPr>
          <w:b/>
        </w:rPr>
        <w:t xml:space="preserve">а </w:t>
      </w:r>
      <w:r>
        <w:rPr>
          <w:b/>
        </w:rPr>
        <w:t xml:space="preserve">обустройство мест отвала снега</w:t>
      </w:r>
      <w:r>
        <w:rPr>
          <w:b/>
        </w:rPr>
      </w:r>
      <w:r>
        <w:rPr>
          <w:b/>
        </w:rPr>
      </w:r>
    </w:p>
    <w:p>
      <w:pPr>
        <w:pStyle w:val="695"/>
        <w:jc w:val="both"/>
        <w:tabs>
          <w:tab w:val="right" w:pos="992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5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  <w:t xml:space="preserve"> о предоставлении субсидий</w:t>
      </w:r>
      <w:r>
        <w:rPr>
          <w:b/>
          <w:sz w:val="28"/>
          <w:szCs w:val="28"/>
        </w:rPr>
        <w:t xml:space="preserve">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>
        <w:rPr>
          <w:sz w:val="28"/>
          <w:szCs w:val="28"/>
        </w:rPr>
        <w:t xml:space="preserve">опреде</w:t>
      </w:r>
      <w:r>
        <w:rPr>
          <w:sz w:val="28"/>
          <w:szCs w:val="28"/>
        </w:rPr>
        <w:t xml:space="preserve">ления объема и условий предоставления субсидий на иные цели муниципальному бюджетному учреждению «Полигон», подведомственному департаменту жилищно-коммунального хозяйства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Перми, на </w:t>
      </w:r>
      <w:r>
        <w:rPr>
          <w:sz w:val="28"/>
          <w:szCs w:val="28"/>
        </w:rPr>
        <w:t xml:space="preserve">обустройство мест отвала снега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опред</w:t>
      </w:r>
      <w:r>
        <w:rPr>
          <w:sz w:val="28"/>
          <w:szCs w:val="28"/>
        </w:rPr>
        <w:t xml:space="preserve">еляет объем и условия предоставления субсидий на иные цели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мест отвала снега</w:t>
      </w:r>
      <w:r>
        <w:rPr>
          <w:sz w:val="28"/>
          <w:szCs w:val="28"/>
        </w:rPr>
        <w:t xml:space="preserve"> (далее – субсидии на иные цели) муниципальному бюджетному</w:t>
      </w:r>
      <w:r>
        <w:rPr>
          <w:sz w:val="28"/>
          <w:szCs w:val="28"/>
        </w:rPr>
        <w:t xml:space="preserve"> учреждению «Полигон» (далее – Учреждение), в отношении которого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жилищно-коммунального хозяйства а</w:t>
      </w:r>
      <w:r>
        <w:rPr>
          <w:sz w:val="28"/>
          <w:szCs w:val="28"/>
        </w:rPr>
        <w:t xml:space="preserve">дминистрации города Перми (далее – Департамент) осуществляет функции и полномочия учредителя.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на иные цели являетс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обустройств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щадок для складирования </w:t>
      </w:r>
      <w:r>
        <w:rPr>
          <w:sz w:val="28"/>
          <w:szCs w:val="28"/>
        </w:rPr>
        <w:t xml:space="preserve">снега</w:t>
      </w:r>
      <w:r>
        <w:rPr>
          <w:sz w:val="28"/>
          <w:szCs w:val="28"/>
        </w:rPr>
        <w:t xml:space="preserve"> на ул. Промышленная и на ул. Ласьви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Субсидии на ины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цели предоставляются Учреждению в пределах бюджетных ассигнований, утвержденных решением Пермской городской Думы </w:t>
        <w:br/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</w:t>
      </w:r>
      <w:r>
        <w:rPr>
          <w:sz w:val="28"/>
          <w:szCs w:val="28"/>
        </w:rPr>
        <w:t xml:space="preserve">, включающ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й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роприятия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созданию</w:t>
      </w:r>
      <w:r>
        <w:rPr>
          <w:sz w:val="28"/>
          <w:szCs w:val="28"/>
        </w:rPr>
        <w:t xml:space="preserve"> мест отвала снега</w:t>
      </w:r>
      <w:r>
        <w:rPr>
          <w:sz w:val="28"/>
          <w:szCs w:val="28"/>
        </w:rPr>
        <w:t xml:space="preserve"> в части обустройства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Получателем субсидий на иные цели является Учреждение.</w:t>
      </w:r>
      <w:r>
        <w:rPr>
          <w:sz w:val="28"/>
          <w:szCs w:val="28"/>
        </w:rPr>
      </w:r>
    </w:p>
    <w:p>
      <w:pPr>
        <w:pStyle w:val="695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</w:t>
      </w:r>
      <w:r>
        <w:rPr>
          <w:b/>
          <w:sz w:val="28"/>
          <w:szCs w:val="28"/>
        </w:rPr>
        <w:t xml:space="preserve">. Условия и порядок предоставления субсидий</w:t>
      </w:r>
      <w:r>
        <w:rPr>
          <w:b/>
          <w:sz w:val="28"/>
          <w:szCs w:val="28"/>
        </w:rPr>
        <w:t xml:space="preserve">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Учреждение </w:t>
      </w:r>
      <w:r>
        <w:rPr>
          <w:sz w:val="28"/>
          <w:szCs w:val="28"/>
        </w:rPr>
        <w:t xml:space="preserve">направляет </w:t>
        <w:br/>
        <w:t xml:space="preserve">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партамент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текущего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</w:t>
      </w:r>
      <w:r>
        <w:rPr>
          <w:sz w:val="28"/>
          <w:szCs w:val="28"/>
        </w:rPr>
        <w:t xml:space="preserve">включая расчет-обоснование суммы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сидий на иные цели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с указанием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(земельных участков) для</w:t>
      </w:r>
      <w:r>
        <w:rPr>
          <w:sz w:val="28"/>
          <w:szCs w:val="28"/>
        </w:rPr>
        <w:t xml:space="preserve"> обустройств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мест отвала снега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(благоустройства</w:t>
      </w:r>
      <w:r>
        <w:rPr>
          <w:sz w:val="28"/>
          <w:szCs w:val="28"/>
        </w:rPr>
        <w:t xml:space="preserve"> площадок </w:t>
        <w:br/>
        <w:t xml:space="preserve">для складирования снега)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сметы, </w:t>
      </w:r>
      <w:r>
        <w:rPr>
          <w:sz w:val="28"/>
          <w:szCs w:val="28"/>
        </w:rPr>
        <w:t xml:space="preserve">коммерческие предложения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наличия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заключенные контракты (договоры) на поставку 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варов, выполнение работ, оказание услуг, </w:t>
      </w:r>
      <w:r>
        <w:rPr>
          <w:sz w:val="28"/>
          <w:szCs w:val="28"/>
        </w:rPr>
        <w:t xml:space="preserve">заключенн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целей </w:t>
      </w:r>
      <w:r>
        <w:rPr>
          <w:sz w:val="28"/>
          <w:szCs w:val="28"/>
        </w:rPr>
        <w:t xml:space="preserve">обустройства </w:t>
      </w:r>
      <w:r>
        <w:rPr>
          <w:sz w:val="28"/>
          <w:szCs w:val="28"/>
        </w:rPr>
        <w:t xml:space="preserve">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щадок для складирования</w:t>
      </w:r>
      <w:r>
        <w:rPr>
          <w:sz w:val="28"/>
          <w:szCs w:val="28"/>
        </w:rPr>
        <w:t xml:space="preserve"> снега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Учреждением сведений Департамент 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мает меры по уточнению объемов субсидий на иные цели.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</w:t>
      </w:r>
      <w:r>
        <w:rPr>
          <w:sz w:val="28"/>
          <w:szCs w:val="28"/>
        </w:rPr>
        <w:t xml:space="preserve">вии</w:t>
      </w:r>
      <w:r>
        <w:rPr>
          <w:sz w:val="28"/>
          <w:szCs w:val="28"/>
        </w:rPr>
        <w:t xml:space="preserve"> с пунктом 2.1 настоящего Порядка осуществляется Департаме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том в течение </w:t>
      </w:r>
      <w:r>
        <w:rPr>
          <w:sz w:val="28"/>
          <w:szCs w:val="28"/>
        </w:rPr>
        <w:t xml:space="preserve">3-х</w:t>
      </w:r>
      <w:r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со дня их представления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Требования, которым Учреждение должно соответствовать на дату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дачи документов, указанных в пункте 2.1 настоящего Порядка: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неи</w:t>
      </w:r>
      <w:r>
        <w:rPr>
          <w:sz w:val="28"/>
          <w:szCs w:val="28"/>
        </w:rPr>
        <w:t xml:space="preserve">сполненной обязанности по уплате налогов, сборов, страх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взносов, пеней, штрафов, процентов, подлежащих уплате </w:t>
        <w:br/>
        <w:t xml:space="preserve">в соответствии с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конодательством Российской Федерации о налогах и сборах;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субсидий, бюджетных инвестиций, предоставленных в том числе </w:t>
        <w:br/>
        <w:t xml:space="preserve">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</w:t>
      </w:r>
      <w:r>
        <w:rPr>
          <w:sz w:val="28"/>
          <w:szCs w:val="28"/>
        </w:rPr>
        <w:t xml:space="preserve">ждению в предоставлении субсидий</w:t>
      </w:r>
      <w:r>
        <w:rPr>
          <w:sz w:val="28"/>
          <w:szCs w:val="28"/>
        </w:rPr>
        <w:t xml:space="preserve"> на иные цели: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</w:t>
      </w:r>
      <w:r>
        <w:rPr>
          <w:sz w:val="28"/>
          <w:szCs w:val="28"/>
        </w:rPr>
        <w:t xml:space="preserve">вет</w:t>
      </w:r>
      <w:r>
        <w:rPr>
          <w:sz w:val="28"/>
          <w:szCs w:val="28"/>
        </w:rPr>
        <w:t xml:space="preserve">ствие представленных Учреждением документов требованиям, определенным в соответствии с пунктом 2.1 настоящего Порядка, </w:t>
        <w:br/>
        <w:t xml:space="preserve">или непре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(представление не в полном объеме) указанных документов;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едс</w:t>
      </w:r>
      <w:r>
        <w:rPr>
          <w:sz w:val="28"/>
          <w:szCs w:val="28"/>
        </w:rPr>
        <w:t xml:space="preserve">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Учреждением в соответствии с пунктом 2.1 настоящего Порядка.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2.5. Размер субсидий на иные цели </w:t>
      </w:r>
      <w:r>
        <w:rPr>
          <w:sz w:val="28"/>
          <w:szCs w:val="28"/>
          <w:highlight w:val="white"/>
        </w:rPr>
        <w:t xml:space="preserve">определен Решением Пермской горо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ской Думы от 17.12.2024 № 218 (ред. от 24.06.2025) «О бюджете города Перми на 2025 год и на плановый период 2026 и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7 годов» и подтверждается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локальными сметными расчетами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коммерчески</w:t>
      </w:r>
      <w:r>
        <w:rPr>
          <w:sz w:val="28"/>
          <w:szCs w:val="28"/>
          <w:highlight w:val="white"/>
        </w:rPr>
        <w:t xml:space="preserve">ми</w:t>
      </w:r>
      <w:r>
        <w:rPr>
          <w:sz w:val="28"/>
          <w:szCs w:val="28"/>
          <w:highlight w:val="white"/>
        </w:rPr>
        <w:t xml:space="preserve"> предложени</w:t>
      </w:r>
      <w:r>
        <w:rPr>
          <w:sz w:val="28"/>
          <w:szCs w:val="28"/>
          <w:highlight w:val="white"/>
        </w:rPr>
        <w:t xml:space="preserve">ями</w:t>
      </w:r>
      <w:r>
        <w:rPr>
          <w:sz w:val="28"/>
          <w:szCs w:val="28"/>
          <w:highlight w:val="white"/>
        </w:rPr>
        <w:t xml:space="preserve"> </w:t>
        <w:br/>
        <w:t xml:space="preserve">с приложением не менее трех ценовых информаций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выполнение работ</w:t>
      </w:r>
      <w:r>
        <w:rPr>
          <w:sz w:val="28"/>
          <w:szCs w:val="28"/>
          <w:highlight w:val="white"/>
        </w:rPr>
        <w:t xml:space="preserve"> </w:t>
        <w:br/>
        <w:t xml:space="preserve">и, в случае наличия, заключе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ными контрактами (договорами) на поставку товаров, выполнение работ, ока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ие услуг, заключенные для целей </w:t>
      </w:r>
      <w:r>
        <w:rPr>
          <w:sz w:val="28"/>
          <w:szCs w:val="28"/>
          <w:highlight w:val="white"/>
        </w:rPr>
        <w:t xml:space="preserve">обустройства</w:t>
      </w:r>
      <w:r>
        <w:rPr>
          <w:sz w:val="28"/>
          <w:szCs w:val="28"/>
          <w:highlight w:val="white"/>
        </w:rPr>
        <w:t xml:space="preserve"> мест отвала снега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Размер субсидий на иные цели устанавливается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настоящему Порядку на очередной финансовый год</w:t>
      </w:r>
      <w:r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</w:t>
      </w:r>
      <w:r>
        <w:rPr>
          <w:sz w:val="28"/>
          <w:szCs w:val="28"/>
        </w:rPr>
        <w:t xml:space="preserve">на ос</w:t>
      </w:r>
      <w:r>
        <w:rPr>
          <w:sz w:val="28"/>
          <w:szCs w:val="28"/>
        </w:rPr>
        <w:t xml:space="preserve">нова</w:t>
      </w:r>
      <w:r>
        <w:rPr>
          <w:sz w:val="28"/>
          <w:szCs w:val="28"/>
        </w:rPr>
        <w:t xml:space="preserve">нии соглашения о предоставлении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из бюджета города Перми (далее –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глашение), заключенного между Департаментом и Учреждением </w:t>
        <w:br/>
        <w:t xml:space="preserve">в соответствии </w:t>
      </w:r>
      <w:r>
        <w:rPr>
          <w:sz w:val="28"/>
          <w:szCs w:val="28"/>
        </w:rPr>
        <w:t xml:space="preserve">с типовой фор</w:t>
      </w:r>
      <w:r>
        <w:rPr>
          <w:sz w:val="28"/>
          <w:szCs w:val="28"/>
        </w:rPr>
        <w:t xml:space="preserve">мой, утвержденной распоряжением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естителя</w:t>
      </w:r>
      <w:r>
        <w:rPr>
          <w:sz w:val="28"/>
          <w:szCs w:val="28"/>
        </w:rPr>
        <w:t xml:space="preserve"> главы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города Перми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</w:t>
      </w:r>
      <w:r>
        <w:rPr>
          <w:sz w:val="28"/>
          <w:szCs w:val="28"/>
        </w:rPr>
        <w:t xml:space="preserve"> деп</w:t>
      </w:r>
      <w:r>
        <w:rPr>
          <w:sz w:val="28"/>
          <w:szCs w:val="28"/>
        </w:rPr>
        <w:t xml:space="preserve">артамента финансов адми</w:t>
      </w:r>
      <w:r>
        <w:rPr>
          <w:sz w:val="28"/>
          <w:szCs w:val="28"/>
        </w:rPr>
        <w:t xml:space="preserve">нистрации города Перми (далее – </w:t>
      </w:r>
      <w:r>
        <w:rPr>
          <w:sz w:val="28"/>
          <w:szCs w:val="28"/>
        </w:rPr>
        <w:t xml:space="preserve">типовая форма).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ящего Порядка;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</w:t>
      </w:r>
      <w:r>
        <w:rPr>
          <w:sz w:val="28"/>
          <w:szCs w:val="28"/>
        </w:rPr>
        <w:t xml:space="preserve">доставления с</w:t>
      </w:r>
      <w:r>
        <w:rPr>
          <w:sz w:val="28"/>
          <w:szCs w:val="28"/>
        </w:rPr>
        <w:t xml:space="preserve">убси</w:t>
      </w:r>
      <w:r>
        <w:rPr>
          <w:sz w:val="28"/>
          <w:szCs w:val="28"/>
        </w:rPr>
        <w:t xml:space="preserve">дий на иные цели</w:t>
      </w:r>
      <w:r>
        <w:rPr>
          <w:sz w:val="28"/>
          <w:szCs w:val="28"/>
        </w:rPr>
        <w:t xml:space="preserve"> в</w:t>
      </w:r>
      <w:r>
        <w:rPr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распоряжении</w:t>
      </w:r>
      <w:r>
        <w:rPr>
          <w:rFonts w:eastAsia="Calibri"/>
          <w:sz w:val="28"/>
          <w:szCs w:val="28"/>
          <w:lang w:eastAsia="en-US"/>
        </w:rPr>
        <w:t xml:space="preserve"> администрации города Перми о выделении бюджетных а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сигнований резервного фонда администрации города Перми.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</w:t>
      </w:r>
      <w:r>
        <w:rPr>
          <w:sz w:val="28"/>
          <w:szCs w:val="28"/>
        </w:rPr>
        <w:t xml:space="preserve">го и</w:t>
      </w:r>
      <w:r>
        <w:rPr>
          <w:sz w:val="28"/>
          <w:szCs w:val="28"/>
        </w:rPr>
        <w:t xml:space="preserve">зменений </w:t>
        <w:br/>
        <w:t xml:space="preserve">или его расторж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требующих внесения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нений в Соглашение, дополнительные соглашения заключаются в течение </w:t>
        <w:br/>
        <w:t xml:space="preserve">10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бочих дней со дня вступления в силу изменений в указанные правовые акты.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</w:t>
      </w:r>
      <w:r>
        <w:rPr>
          <w:sz w:val="28"/>
          <w:szCs w:val="28"/>
        </w:rPr>
        <w:t xml:space="preserve">сиди</w:t>
      </w:r>
      <w:r>
        <w:rPr>
          <w:sz w:val="28"/>
          <w:szCs w:val="28"/>
        </w:rPr>
        <w:t xml:space="preserve">и на иные цели перечисляются в сроки, установленные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переч</w:t>
      </w:r>
      <w:r>
        <w:rPr>
          <w:sz w:val="28"/>
          <w:szCs w:val="28"/>
        </w:rPr>
        <w:t xml:space="preserve">исления субсидий на иные цели – </w:t>
      </w:r>
      <w:r>
        <w:rPr>
          <w:sz w:val="28"/>
          <w:szCs w:val="28"/>
        </w:rPr>
        <w:t xml:space="preserve">единовременн</w:t>
      </w:r>
      <w:r>
        <w:rPr>
          <w:sz w:val="28"/>
          <w:szCs w:val="28"/>
        </w:rPr>
        <w:t xml:space="preserve">о </w:t>
        <w:br/>
        <w:t xml:space="preserve">в каждом финансовом году, на который предусмотрена субсидия на иные цели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</w:t>
      </w:r>
      <w:r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, предоставляемые Учреждению в в</w:t>
      </w:r>
      <w:r>
        <w:rPr>
          <w:sz w:val="28"/>
          <w:szCs w:val="28"/>
        </w:rPr>
        <w:t xml:space="preserve">иде </w:t>
      </w:r>
      <w:r>
        <w:rPr>
          <w:sz w:val="28"/>
          <w:szCs w:val="28"/>
        </w:rPr>
        <w:t xml:space="preserve">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ли, расходуются в соответствии с их целевым назначением </w:t>
        <w:br/>
        <w:t xml:space="preserve">и не могут быть направлены на другие цели.</w:t>
      </w:r>
      <w:r>
        <w:rPr>
          <w:sz w:val="28"/>
          <w:szCs w:val="28"/>
        </w:rPr>
      </w:r>
    </w:p>
    <w:p>
      <w:pPr>
        <w:pStyle w:val="695"/>
        <w:ind w:firstLine="709"/>
        <w:jc w:val="both"/>
      </w:pPr>
      <w:r>
        <w:rPr>
          <w:sz w:val="28"/>
          <w:szCs w:val="28"/>
        </w:rPr>
        <w:t xml:space="preserve">2.12. Субсидии на иные цели Учреждению предоставляются путем перечи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ления Департаментом денежных средств на отдельный лицевой счет Учр</w:t>
      </w:r>
      <w:r>
        <w:rPr>
          <w:sz w:val="28"/>
          <w:szCs w:val="28"/>
        </w:rPr>
        <w:t xml:space="preserve">ежде</w:t>
      </w:r>
      <w:r>
        <w:rPr>
          <w:sz w:val="28"/>
          <w:szCs w:val="28"/>
        </w:rPr>
        <w:t xml:space="preserve">ния, открытый в департаменте финансов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  <w:t xml:space="preserve">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порядке. </w:t>
      </w:r>
      <w:r/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2.13. </w:t>
      </w:r>
      <w:r>
        <w:rPr>
          <w:sz w:val="28"/>
          <w:szCs w:val="28"/>
          <w:highlight w:val="white"/>
        </w:rPr>
        <w:t xml:space="preserve">Резул</w:t>
      </w:r>
      <w:r>
        <w:rPr>
          <w:sz w:val="28"/>
          <w:szCs w:val="28"/>
          <w:highlight w:val="white"/>
        </w:rPr>
        <w:t xml:space="preserve">ьтато</w:t>
      </w:r>
      <w:r>
        <w:rPr>
          <w:sz w:val="28"/>
          <w:szCs w:val="28"/>
          <w:highlight w:val="white"/>
        </w:rPr>
        <w:t xml:space="preserve">м предоставления субсидий на иные цели является</w:t>
      </w:r>
      <w:r>
        <w:rPr>
          <w:sz w:val="28"/>
          <w:szCs w:val="28"/>
          <w:highlight w:val="white"/>
        </w:rPr>
        <w:t xml:space="preserve"> </w:t>
      </w:r>
      <w:commentRangeStart w:id="0"/>
      <w:r>
        <w:rPr>
          <w:sz w:val="28"/>
          <w:szCs w:val="28"/>
          <w:highlight w:val="white"/>
        </w:rPr>
        <w:t xml:space="preserve">создание мест</w:t>
      </w:r>
      <w:r>
        <w:rPr>
          <w:sz w:val="28"/>
          <w:szCs w:val="28"/>
          <w:highlight w:val="white"/>
        </w:rPr>
        <w:t xml:space="preserve"> отвала снега в </w:t>
      </w:r>
      <w:r>
        <w:rPr>
          <w:sz w:val="28"/>
          <w:szCs w:val="28"/>
          <w:highlight w:val="white"/>
        </w:rPr>
        <w:t xml:space="preserve">виде </w:t>
      </w:r>
      <w:r>
        <w:rPr>
          <w:sz w:val="28"/>
          <w:szCs w:val="28"/>
          <w:highlight w:val="white"/>
        </w:rPr>
        <w:t xml:space="preserve">об</w:t>
      </w:r>
      <w:r>
        <w:rPr>
          <w:sz w:val="28"/>
          <w:szCs w:val="28"/>
          <w:highlight w:val="white"/>
        </w:rPr>
        <w:t xml:space="preserve">устроенны</w:t>
      </w:r>
      <w:r>
        <w:rPr>
          <w:sz w:val="28"/>
          <w:szCs w:val="28"/>
          <w:highlight w:val="white"/>
        </w:rPr>
        <w:t xml:space="preserve">х</w:t>
      </w:r>
      <w:r>
        <w:rPr>
          <w:sz w:val="28"/>
          <w:szCs w:val="28"/>
          <w:highlight w:val="white"/>
        </w:rPr>
        <w:t xml:space="preserve"> площад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 с твердым покрытием </w:t>
        <w:br/>
        <w:t xml:space="preserve">и обваловкой для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складирования</w:t>
      </w:r>
      <w:r>
        <w:rPr>
          <w:sz w:val="28"/>
          <w:szCs w:val="28"/>
          <w:highlight w:val="white"/>
        </w:rPr>
        <w:t xml:space="preserve"> снега по ул. Промышленная </w:t>
        <w:br/>
        <w:t xml:space="preserve">и по ул. Ласьвинская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commentRangeEnd w:id="0"/>
      <w:r>
        <w:commentReference w:id="0"/>
      </w: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</w:t>
      </w:r>
      <w:r>
        <w:rPr>
          <w:b/>
          <w:sz w:val="28"/>
          <w:szCs w:val="28"/>
        </w:rPr>
        <w:t xml:space="preserve">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представ</w:t>
      </w:r>
      <w:r>
        <w:rPr>
          <w:sz w:val="28"/>
          <w:szCs w:val="28"/>
        </w:rPr>
        <w:t xml:space="preserve">ляет в Департамент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отчетность по формам,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новленным в Соглашении.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своевременностью представления </w:t>
      </w:r>
      <w:r>
        <w:rPr>
          <w:sz w:val="28"/>
          <w:szCs w:val="28"/>
        </w:rPr>
        <w:t xml:space="preserve">отчетности</w:t>
      </w:r>
      <w:r>
        <w:rPr>
          <w:sz w:val="28"/>
          <w:szCs w:val="28"/>
        </w:rPr>
        <w:t xml:space="preserve"> </w:t>
        <w:br/>
        <w:t xml:space="preserve">и достове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ностью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имеет право устан</w:t>
      </w:r>
      <w:r>
        <w:rPr>
          <w:sz w:val="28"/>
          <w:szCs w:val="28"/>
        </w:rPr>
        <w:t xml:space="preserve">авливать в Соглашении </w:t>
      </w:r>
      <w:r>
        <w:rPr>
          <w:sz w:val="28"/>
          <w:szCs w:val="28"/>
        </w:rPr>
        <w:t xml:space="preserve">формы допо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нительной</w:t>
      </w:r>
      <w:r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 xml:space="preserve">и сроки их представления Учреждением.</w:t>
      </w:r>
      <w:r>
        <w:rPr>
          <w:sz w:val="28"/>
          <w:szCs w:val="28"/>
        </w:rPr>
      </w:r>
    </w:p>
    <w:p>
      <w:pPr>
        <w:pStyle w:val="695"/>
        <w:jc w:val="both"/>
        <w:tabs>
          <w:tab w:val="left" w:pos="117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Порядок осуществления контроля за соблюдением целей,</w:t>
      </w:r>
      <w:r>
        <w:rPr>
          <w:b/>
          <w:sz w:val="28"/>
          <w:szCs w:val="28"/>
        </w:rPr>
      </w:r>
    </w:p>
    <w:p>
      <w:pPr>
        <w:pStyle w:val="69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  <w:r>
        <w:rPr>
          <w:b/>
          <w:sz w:val="28"/>
          <w:szCs w:val="28"/>
        </w:rPr>
      </w:r>
    </w:p>
    <w:p>
      <w:pPr>
        <w:pStyle w:val="695"/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</w:t>
      </w:r>
      <w:r>
        <w:rPr>
          <w:sz w:val="28"/>
          <w:szCs w:val="28"/>
        </w:rPr>
        <w:t xml:space="preserve">ент и уполномоченный орган муниципального </w:t>
      </w:r>
      <w:r>
        <w:rPr>
          <w:sz w:val="28"/>
          <w:szCs w:val="28"/>
        </w:rPr>
        <w:t xml:space="preserve">финансового контроля осуществляют обязательную проверку соблюдения целей и условий предоставления Учреждению субсидий на иные цели.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</w:t>
      </w:r>
      <w:r>
        <w:rPr>
          <w:sz w:val="28"/>
          <w:szCs w:val="28"/>
        </w:rPr>
        <w:t xml:space="preserve"> несоблюдение целей и условий</w:t>
      </w:r>
      <w:r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субсидий на иные цели</w:t>
      </w:r>
      <w:r>
        <w:rPr>
          <w:sz w:val="28"/>
          <w:szCs w:val="28"/>
        </w:rPr>
        <w:t xml:space="preserve">, установленных на</w:t>
      </w:r>
      <w:r>
        <w:rPr>
          <w:sz w:val="28"/>
          <w:szCs w:val="28"/>
        </w:rPr>
        <w:t xml:space="preserve">стоящим Порядком.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Учреждением целей и условий, установленных при предоставлении субсидий на иные цели, выявленного по результатам пров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рок, проведенных Департаментом и уполномоченным орга</w:t>
      </w:r>
      <w:r>
        <w:rPr>
          <w:sz w:val="28"/>
          <w:szCs w:val="28"/>
        </w:rPr>
        <w:t xml:space="preserve">ном муниципального финансового контроля, д</w:t>
      </w:r>
      <w:r>
        <w:rPr>
          <w:sz w:val="28"/>
          <w:szCs w:val="28"/>
        </w:rPr>
        <w:t xml:space="preserve">анные средства подлежат возврату </w:t>
        <w:br/>
        <w:t xml:space="preserve">в бюджет города Перми в сроки, установленные указанными органами, </w:t>
        <w:br/>
        <w:t xml:space="preserve">на основании требования </w:t>
      </w:r>
      <w:r>
        <w:rPr>
          <w:sz w:val="28"/>
          <w:szCs w:val="28"/>
        </w:rPr>
        <w:t xml:space="preserve">о возврате субсидий на иные цели.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</w:t>
      </w:r>
      <w:r>
        <w:rPr>
          <w:sz w:val="28"/>
          <w:szCs w:val="28"/>
        </w:rPr>
        <w:t xml:space="preserve">субсидий </w:t>
        <w:br/>
        <w:t xml:space="preserve">на иные цели Департамент обеспечи</w:t>
      </w:r>
      <w:r>
        <w:rPr>
          <w:sz w:val="28"/>
          <w:szCs w:val="28"/>
        </w:rPr>
        <w:t xml:space="preserve">вает взыскание субсидий на иные цели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  <w:t xml:space="preserve">в </w:t>
      </w:r>
      <w:r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судебном порядке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недостижения результата предоставления субсидий на иные цели, установленного пункт</w:t>
      </w:r>
      <w:r>
        <w:rPr>
          <w:sz w:val="28"/>
          <w:szCs w:val="28"/>
        </w:rPr>
        <w:t xml:space="preserve">ом 2.13 настоящего Порядка, субсидии на ин</w:t>
      </w:r>
      <w:r>
        <w:rPr>
          <w:sz w:val="28"/>
          <w:szCs w:val="28"/>
        </w:rPr>
        <w:t xml:space="preserve">ые цели подлежат возврату в доход бюджета города Перми в течение 25 рабочих дней </w:t>
        <w:br/>
        <w:t xml:space="preserve">со дня выявления указанного недостижения.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Остатки субсидий на иные цели по состоянию на 01 января очередного финансового года, н</w:t>
      </w:r>
      <w:r>
        <w:rPr>
          <w:sz w:val="28"/>
          <w:szCs w:val="28"/>
        </w:rPr>
        <w:t xml:space="preserve">е использованные в текущем финансовом году</w:t>
      </w:r>
      <w:r>
        <w:rPr>
          <w:sz w:val="28"/>
          <w:szCs w:val="28"/>
        </w:rPr>
        <w:t xml:space="preserve">, подлежат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речислению Учреждениями в доход бюджета города Перми не позднее первых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4 рабочих дней очередного финансового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</w:t>
      </w:r>
      <w:r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иные цели, перечисленный</w:t>
      </w:r>
      <w:r>
        <w:rPr>
          <w:sz w:val="28"/>
          <w:szCs w:val="28"/>
        </w:rPr>
        <w:t xml:space="preserve"> Учреждением в доход бюджета города Перми</w:t>
      </w:r>
      <w:r>
        <w:rPr>
          <w:sz w:val="28"/>
          <w:szCs w:val="28"/>
        </w:rPr>
        <w:t xml:space="preserve">, возвраща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Учреждению в очередном фина</w:t>
      </w:r>
      <w:r>
        <w:rPr>
          <w:sz w:val="28"/>
          <w:szCs w:val="28"/>
        </w:rPr>
        <w:t xml:space="preserve">нсовом году при наличии потребности в направлении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на те же цели на основании запроса Учреждения в соответствии с решением Департамента, оформленным приказом начальника Департамента.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</w:t>
      </w:r>
      <w:r>
        <w:rPr>
          <w:sz w:val="28"/>
          <w:szCs w:val="28"/>
        </w:rPr>
        <w:t xml:space="preserve">субсидий на иные цели принимается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ентом по итогам рассмотрения запроса Учреждения, представленного </w:t>
        <w:br/>
        <w:t xml:space="preserve">в Депа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тамент до 05 февраля текущего года и отражающего причины образования неи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пользованных остатков и необходимости их использования в текущем фина</w:t>
      </w:r>
      <w:r>
        <w:rPr>
          <w:sz w:val="28"/>
          <w:szCs w:val="28"/>
        </w:rPr>
        <w:t xml:space="preserve">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вом году, с приложением документов (коп</w:t>
      </w:r>
      <w:r>
        <w:rPr>
          <w:sz w:val="28"/>
          <w:szCs w:val="28"/>
        </w:rPr>
        <w:t xml:space="preserve">ий документов), подтверждающих наличие и объем неисполненных обязательств, принятых </w:t>
        <w:br/>
        <w:t xml:space="preserve">до начала текущего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 года либо подлежащих принятию в текущем финансовом году.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принимает решение о возврате о</w:t>
      </w:r>
      <w:r>
        <w:rPr>
          <w:sz w:val="28"/>
          <w:szCs w:val="28"/>
        </w:rPr>
        <w:t xml:space="preserve">статков субсидий на иные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ли в течение 10</w:t>
      </w:r>
      <w:r>
        <w:rPr>
          <w:sz w:val="28"/>
          <w:szCs w:val="28"/>
        </w:rPr>
        <w:t xml:space="preserve">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</w:t>
      </w:r>
      <w:r>
        <w:rPr>
          <w:sz w:val="28"/>
          <w:szCs w:val="28"/>
        </w:rPr>
        <w:t xml:space="preserve">а иные цели, они считаются неподтвержденны</w:t>
      </w:r>
      <w:r>
        <w:rPr>
          <w:sz w:val="28"/>
          <w:szCs w:val="28"/>
        </w:rPr>
        <w:t xml:space="preserve">ми </w:t>
        <w:br/>
        <w:t xml:space="preserve">и не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жат возврату Учреждению.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  <w:br/>
        <w:t xml:space="preserve">не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числены Учреждением в доход бюджета города Перми в сроки, установленные абзацем первым настоящего пункта, то</w:t>
      </w:r>
      <w:r>
        <w:rPr>
          <w:sz w:val="28"/>
          <w:szCs w:val="28"/>
        </w:rPr>
        <w:t xml:space="preserve"> они подлежат взысканию </w:t>
        <w:br/>
        <w:t xml:space="preserve">в установленном де</w:t>
      </w:r>
      <w:r>
        <w:rPr>
          <w:sz w:val="28"/>
          <w:szCs w:val="28"/>
        </w:rPr>
        <w:t xml:space="preserve">йствующим законодательством порядке.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поступления средств от возврата ранее произведенных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 выплат, источником финансового обеспечения которых являются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дии на иные цели, для достижения ц</w:t>
      </w:r>
      <w:r>
        <w:rPr>
          <w:sz w:val="28"/>
          <w:szCs w:val="28"/>
        </w:rPr>
        <w:t xml:space="preserve">елей, установленных </w:t>
        <w:br/>
        <w:t xml:space="preserve">при предоставлении</w:t>
      </w:r>
      <w:r>
        <w:rPr>
          <w:sz w:val="28"/>
          <w:szCs w:val="28"/>
        </w:rPr>
        <w:t xml:space="preserve"> суб</w:t>
      </w:r>
      <w:r>
        <w:rPr>
          <w:sz w:val="28"/>
          <w:szCs w:val="28"/>
        </w:rPr>
        <w:t xml:space="preserve">сидий</w:t>
      </w:r>
      <w:r>
        <w:rPr>
          <w:sz w:val="28"/>
          <w:szCs w:val="28"/>
        </w:rPr>
        <w:t xml:space="preserve"> на иные цели</w:t>
      </w:r>
      <w:r>
        <w:rPr>
          <w:sz w:val="28"/>
          <w:szCs w:val="28"/>
        </w:rPr>
        <w:t xml:space="preserve">, Департамент в течение 30 рабочих дней с момента их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ступления принимает решение об использовании в текущем финансовом году указанных средств путем издания соответствующего приказа.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</w:t>
      </w:r>
      <w:r>
        <w:rPr>
          <w:sz w:val="28"/>
          <w:szCs w:val="28"/>
        </w:rPr>
        <w:t xml:space="preserve">ртамента об использовании в текущем финанс</w:t>
      </w:r>
      <w:r>
        <w:rPr>
          <w:sz w:val="28"/>
          <w:szCs w:val="28"/>
        </w:rPr>
        <w:t xml:space="preserve">овом году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занных средств принимается при наличии потребности Учреждения по итогам рассмотрения запроса, представленного Учреждением в Департамент в течение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30 рабочих дней с момента поступления средств в Учрежд</w:t>
      </w:r>
      <w:r>
        <w:rPr>
          <w:sz w:val="28"/>
          <w:szCs w:val="28"/>
        </w:rPr>
        <w:t xml:space="preserve">ение и отражающего необходимость их исполь</w:t>
      </w:r>
      <w:r>
        <w:rPr>
          <w:sz w:val="28"/>
          <w:szCs w:val="28"/>
        </w:rPr>
        <w:t xml:space="preserve">зования в текущем финансовом году, с приложением документов (копий документов), подтверждающих наличие и объем неисполне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обязательств, принятых до начала текущего финансового года либо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жащих принятию в тек</w:t>
      </w:r>
      <w:r>
        <w:rPr>
          <w:sz w:val="28"/>
          <w:szCs w:val="28"/>
        </w:rPr>
        <w:t xml:space="preserve">ущем финансовом году.</w:t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</w:t>
      </w:r>
      <w:r>
        <w:rPr>
          <w:sz w:val="28"/>
          <w:szCs w:val="28"/>
        </w:rPr>
        <w:t xml:space="preserve">рядку </w:t>
      </w:r>
      <w:r>
        <w:rPr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бюджетному учреждению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«Полигон», подведомственному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создание мест отвала снега</w:t>
      </w:r>
      <w:r>
        <w:rPr>
          <w:sz w:val="28"/>
          <w:szCs w:val="28"/>
        </w:rPr>
      </w:r>
    </w:p>
    <w:p>
      <w:pPr>
        <w:pStyle w:val="695"/>
        <w:ind w:right="-598" w:firstLine="878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</w:rPr>
      </w:pPr>
      <w:r>
        <w:rPr>
          <w:b/>
          <w:caps/>
        </w:rPr>
        <w:t xml:space="preserve">Расчет-обосно</w:t>
      </w:r>
      <w:r>
        <w:rPr>
          <w:b/>
          <w:caps/>
        </w:rPr>
        <w:t xml:space="preserve">вание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суммы субсидий на иные цели </w:t>
      </w:r>
      <w:r>
        <w:rPr>
          <w:b/>
        </w:rPr>
        <w:t xml:space="preserve">на </w:t>
      </w:r>
      <w:r>
        <w:rPr>
          <w:b/>
        </w:rPr>
        <w:t xml:space="preserve">создание мест отвала снега</w:t>
      </w:r>
      <w:r>
        <w:rPr>
          <w:b/>
        </w:rPr>
      </w:r>
      <w:r>
        <w:rPr>
          <w:b/>
        </w:rPr>
      </w:r>
    </w:p>
    <w:p>
      <w:pPr>
        <w:pStyle w:val="69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7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"/>
        <w:gridCol w:w="7457"/>
        <w:gridCol w:w="4394"/>
        <w:gridCol w:w="8"/>
        <w:gridCol w:w="2685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62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п/п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457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  <w:t xml:space="preserve">, кадастровый номер</w:t>
            </w: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мероприятия для направления субсидий на иные цели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69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сумма субс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дии по объе</w:t>
            </w:r>
            <w:r>
              <w:rPr>
                <w:sz w:val="28"/>
                <w:szCs w:val="28"/>
              </w:rPr>
              <w:t xml:space="preserve">кту,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62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457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</w:t>
            </w:r>
            <w:r>
              <w:rPr>
                <w:color w:val="000000"/>
                <w:sz w:val="28"/>
                <w:szCs w:val="28"/>
              </w:rPr>
              <w:t xml:space="preserve">вский район г.Перми, з</w:t>
            </w:r>
            <w:r>
              <w:rPr>
                <w:color w:val="000000"/>
                <w:sz w:val="28"/>
                <w:szCs w:val="28"/>
              </w:rPr>
              <w:t xml:space="preserve">емельный участок в непосредс</w:t>
            </w:r>
            <w:r>
              <w:rPr>
                <w:color w:val="000000"/>
                <w:sz w:val="28"/>
                <w:szCs w:val="28"/>
              </w:rPr>
              <w:t xml:space="preserve">твенной близости к ул. Ласьвинская, д. 104в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Расчистка территории от зеленых насаждений, обустройство тверд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го покрытия, обваловка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269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98 842 200,00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62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457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Индустриальный район г. Перми, напротив по</w:t>
            </w:r>
            <w:r>
              <w:rPr>
                <w:rFonts w:eastAsia="Calibri"/>
                <w:sz w:val="28"/>
                <w:szCs w:val="28"/>
              </w:rPr>
              <w:t xml:space="preserve">ворота с ул. Промышленной на Гамовский тракт, въезд напротив здания</w:t>
            </w:r>
            <w:r>
              <w:rPr>
                <w:rFonts w:eastAsia="Calibri"/>
                <w:sz w:val="28"/>
                <w:szCs w:val="28"/>
              </w:rPr>
              <w:t xml:space="preserve"> по ул. Космонавта Леонова 103 кА, в границах земельного участка с кадастровым номером 59:01:4716051:731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Обустройство твердого покрытия, обваловка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269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101 157 800,00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2482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сумма субсидии, руб.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2693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200 000 000,00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695"/>
      </w:pPr>
      <w:r/>
      <w:r/>
    </w:p>
    <w:p>
      <w:pPr>
        <w:pStyle w:val="695"/>
        <w:ind w:firstLine="5529"/>
        <w:jc w:val="both"/>
        <w:spacing w:line="240" w:lineRule="exact"/>
        <w:tabs>
          <w:tab w:val="right" w:pos="99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ind w:firstLine="709"/>
        <w:jc w:val="both"/>
      </w:pPr>
      <w:r>
        <w:t xml:space="preserve">Учреждение не имеет задолженности по уплате нало</w:t>
      </w:r>
      <w:r>
        <w:t xml:space="preserve">гов, сборов, страховых взносов, пеней, штрафов, процентов, подлежащих уплате в соответствии с зак</w:t>
      </w:r>
      <w:r>
        <w:t xml:space="preserve">о</w:t>
      </w:r>
      <w:r>
        <w:t xml:space="preserve">нодательством Российской Федерации о налогах и сборах.</w:t>
      </w:r>
      <w:r/>
    </w:p>
    <w:p>
      <w:pPr>
        <w:pStyle w:val="731"/>
        <w:ind w:firstLine="709"/>
        <w:jc w:val="both"/>
      </w:pPr>
      <w:r/>
      <w:r/>
    </w:p>
    <w:p>
      <w:pPr>
        <w:pStyle w:val="731"/>
        <w:ind w:firstLine="709"/>
        <w:jc w:val="both"/>
        <w:tabs>
          <w:tab w:val="left" w:pos="4395" w:leader="none"/>
        </w:tabs>
      </w:pPr>
      <w:r>
        <w:t xml:space="preserve">Учреждение не имеет задолженности п</w:t>
      </w:r>
      <w:r>
        <w:t xml:space="preserve">о возврату в бюджет города Перми субсидий, бюджетных инвестиций, пр</w:t>
      </w:r>
      <w:r>
        <w:t xml:space="preserve">ед</w:t>
      </w:r>
      <w:r>
        <w:t xml:space="preserve">о</w:t>
      </w:r>
      <w:r>
        <w:t xml:space="preserve">ставленных в том числе в соответствии с иными правовыми актами, и иной просроченной задолженности перед бюджетом города Перми.</w:t>
      </w:r>
      <w:r/>
    </w:p>
    <w:p>
      <w:pPr>
        <w:pStyle w:val="731"/>
        <w:jc w:val="both"/>
      </w:pPr>
      <w:r/>
      <w:r/>
    </w:p>
    <w:tbl>
      <w:tblPr>
        <w:tblW w:w="5000" w:type="pct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5"/>
        <w:gridCol w:w="3804"/>
        <w:gridCol w:w="506"/>
        <w:gridCol w:w="5922"/>
      </w:tblGrid>
      <w:tr>
        <w:tblPrEx/>
        <w:trPr/>
        <w:tc>
          <w:tcPr>
            <w:tcW w:w="1584" w:type="pct"/>
            <w:vAlign w:val="bottom"/>
            <w:textDirection w:val="lrTb"/>
            <w:noWrap w:val="false"/>
          </w:tcPr>
          <w:p>
            <w:pPr>
              <w:pStyle w:val="731"/>
            </w:pPr>
            <w:r>
              <w:t xml:space="preserve">Директор учреждения</w:t>
            </w:r>
            <w:r/>
          </w:p>
        </w:tc>
        <w:tc>
          <w:tcPr>
            <w:tcBorders>
              <w:bottom w:val="single" w:color="000000" w:sz="4" w:space="0"/>
            </w:tcBorders>
            <w:tcW w:w="1270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76" w:type="pct"/>
            <w:vAlign w:val="top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584" w:type="pct"/>
            <w:vAlign w:val="bottom"/>
            <w:textDirection w:val="lrTb"/>
            <w:noWrap w:val="false"/>
          </w:tcPr>
          <w:p>
            <w:pPr>
              <w:pStyle w:val="731"/>
            </w:pPr>
            <w:r>
              <w:t xml:space="preserve">М.П.</w:t>
            </w:r>
            <w:r/>
          </w:p>
        </w:tc>
        <w:tc>
          <w:tcPr>
            <w:tcBorders>
              <w:top w:val="single" w:color="000000" w:sz="4" w:space="0"/>
            </w:tcBorders>
            <w:tcW w:w="1270" w:type="pct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169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976" w:type="pct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731"/>
            </w:pPr>
            <w:r>
              <w:t xml:space="preserve">«__</w:t>
            </w:r>
            <w:r>
              <w:t xml:space="preserve">__»</w:t>
            </w:r>
            <w:r>
              <w:t xml:space="preserve"> _____________________ г.</w:t>
            </w:r>
            <w:r/>
          </w:p>
        </w:tc>
      </w:tr>
      <w:tr>
        <w:tblPrEx/>
        <w:trPr/>
        <w:tc>
          <w:tcPr>
            <w:tcW w:w="1584" w:type="pct"/>
            <w:vAlign w:val="bottom"/>
            <w:textDirection w:val="lrTb"/>
            <w:noWrap w:val="false"/>
          </w:tcPr>
          <w:p>
            <w:pPr>
              <w:pStyle w:val="731"/>
            </w:pPr>
            <w:r>
              <w:t xml:space="preserve">Исполнитель</w:t>
            </w:r>
            <w:r/>
          </w:p>
        </w:tc>
        <w:tc>
          <w:tcPr>
            <w:tcBorders>
              <w:bottom w:val="single" w:color="000000" w:sz="4" w:space="0"/>
            </w:tcBorders>
            <w:tcW w:w="1270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9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76" w:type="pct"/>
            <w:vAlign w:val="top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584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0" w:type="pct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169" w:type="pct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976" w:type="pct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</w:t>
            </w:r>
            <w:r>
              <w:rPr>
                <w:sz w:val="24"/>
                <w:szCs w:val="24"/>
              </w:rPr>
              <w:t xml:space="preserve">вка)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5"/>
        <w:spacing w:line="240" w:lineRule="exact"/>
        <w:rPr>
          <w:sz w:val="28"/>
          <w:szCs w:val="28"/>
        </w:rPr>
        <w:sectPr>
          <w:headerReference w:type="default" r:id="rId10"/>
          <w:headerReference w:type="even" r:id="rId11"/>
          <w:footerReference w:type="default" r:id="rId12"/>
          <w:footnotePr/>
          <w:endnotePr/>
          <w:type w:val="nextPage"/>
          <w:pgSz w:w="16838" w:h="11906" w:orient="landscape"/>
          <w:pgMar w:top="566" w:right="1418" w:bottom="1134" w:left="56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firstLine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95"/>
        <w:ind w:left="552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определения объема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 муниципальному бюджетному учреждению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«Полигон», подведомственному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департаменту жилищно-ком</w:t>
      </w:r>
      <w:r>
        <w:rPr>
          <w:sz w:val="28"/>
          <w:szCs w:val="28"/>
        </w:rPr>
        <w:t xml:space="preserve">мунального хозяйства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администрации города Перми,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создание мест</w:t>
      </w:r>
      <w:r>
        <w:rPr>
          <w:sz w:val="28"/>
          <w:szCs w:val="28"/>
        </w:rPr>
        <w:t xml:space="preserve"> отвала снега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right"/>
        <w:outlineLvl w:val="2"/>
      </w:pPr>
      <w:r/>
      <w:r/>
    </w:p>
    <w:p>
      <w:pPr>
        <w:pStyle w:val="731"/>
        <w:jc w:val="both"/>
      </w:pPr>
      <w:r/>
      <w:r/>
    </w:p>
    <w:p>
      <w:pPr>
        <w:pStyle w:val="731"/>
        <w:jc w:val="both"/>
      </w:pPr>
      <w:r/>
      <w:r/>
    </w:p>
    <w:p>
      <w:pPr>
        <w:pStyle w:val="731"/>
        <w:jc w:val="center"/>
        <w:spacing w:line="240" w:lineRule="exact"/>
        <w:rPr>
          <w:b/>
        </w:rPr>
      </w:pPr>
      <w:r>
        <w:rPr>
          <w:b/>
          <w:caps/>
        </w:rPr>
        <w:t xml:space="preserve">размер субсидии</w:t>
      </w:r>
      <w:r>
        <w:rPr>
          <w:b/>
        </w:rPr>
        <w:br w:type="textWrapping" w:clear="all"/>
      </w:r>
      <w:r>
        <w:rPr>
          <w:b/>
        </w:rPr>
        <w:t xml:space="preserve">на иные цели на </w:t>
      </w:r>
      <w:r>
        <w:rPr>
          <w:b/>
        </w:rPr>
        <w:t xml:space="preserve">создание мест отвала снега</w:t>
      </w:r>
      <w:r>
        <w:rPr>
          <w:b/>
        </w:rPr>
      </w:r>
      <w:r>
        <w:rPr>
          <w:b/>
        </w:rPr>
      </w:r>
    </w:p>
    <w:p>
      <w:pPr>
        <w:pStyle w:val="731"/>
        <w:jc w:val="center"/>
      </w:pPr>
      <w:r/>
      <w:r/>
    </w:p>
    <w:p>
      <w:pPr>
        <w:pStyle w:val="69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752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530"/>
        <w:gridCol w:w="3402"/>
        <w:gridCol w:w="2127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tabs>
                <w:tab w:val="left" w:pos="1380" w:leader="none"/>
                <w:tab w:val="center" w:pos="2410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Получатель субсидий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объекта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Расчетные пок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затели 2025 год, руб.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Расчетные пок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затели 2026 год, </w:t>
            </w:r>
            <w:r>
              <w:rPr>
                <w:rFonts w:eastAsia="Calibri"/>
                <w:sz w:val="24"/>
                <w:szCs w:val="24"/>
              </w:rPr>
              <w:t xml:space="preserve">руб.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tabs>
                <w:tab w:val="left" w:pos="1380" w:leader="none"/>
                <w:tab w:val="center" w:pos="2410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pStyle w:val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лигон»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t xml:space="preserve">площадка для скл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дирования снега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Лас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98 842 200,00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30" w:type="dxa"/>
            <w:vAlign w:val="top"/>
            <w:vMerge w:val="continue"/>
            <w:textDirection w:val="lrTb"/>
            <w:noWrap w:val="false"/>
          </w:tcPr>
          <w:p>
            <w:pPr>
              <w:pStyle w:val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t xml:space="preserve">площадка для скл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дирования снега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1 157 800,00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100 000 000,00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5499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100 000 000,00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100 000 000,00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31"/>
        <w:ind w:firstLine="540"/>
        <w:jc w:val="both"/>
      </w:pPr>
      <w:r/>
      <w:r/>
    </w:p>
    <w:p>
      <w:pPr>
        <w:pStyle w:val="731"/>
        <w:ind w:firstLine="709"/>
        <w:jc w:val="both"/>
      </w:pPr>
      <w:r>
        <w:t xml:space="preserve">Учреждение не им</w:t>
      </w:r>
      <w:r>
        <w:t xml:space="preserve">еет задолженности по уплате налогов, сборов, страховых взносов, пен</w:t>
      </w:r>
      <w:r>
        <w:t xml:space="preserve">ей, штрафов, процентов, подлежащих уплате в соответствии </w:t>
        <w:br/>
        <w:t xml:space="preserve">с зак</w:t>
      </w:r>
      <w:r>
        <w:t xml:space="preserve">о</w:t>
      </w:r>
      <w:r>
        <w:t xml:space="preserve">нодательством Российской Федерации о налогах и сборах.</w:t>
      </w:r>
      <w:r/>
    </w:p>
    <w:p>
      <w:pPr>
        <w:pStyle w:val="731"/>
        <w:ind w:firstLine="709"/>
        <w:jc w:val="both"/>
      </w:pPr>
      <w:r>
        <w:t xml:space="preserve">Учреждение не имеет задолженности по возврату в бюджет города Перми суб</w:t>
      </w:r>
      <w:r>
        <w:t xml:space="preserve">сидий, бюджетных инвестиций, предоставленных в том числе в соответс</w:t>
      </w:r>
      <w:r>
        <w:t xml:space="preserve">твии </w:t>
      </w:r>
      <w:r>
        <w:br w:type="textWrapping" w:clear="all"/>
      </w:r>
      <w:r>
        <w:t xml:space="preserve">с иными правовыми актами, и иной просроченной задолженности перед бюдж</w:t>
      </w:r>
      <w:r>
        <w:t xml:space="preserve">е</w:t>
      </w:r>
      <w:r>
        <w:t xml:space="preserve">том города Перми.</w:t>
      </w:r>
      <w:r/>
    </w:p>
    <w:p>
      <w:pPr>
        <w:pStyle w:val="731"/>
        <w:ind w:firstLine="709"/>
        <w:jc w:val="both"/>
      </w:pPr>
      <w:r/>
      <w:r/>
    </w:p>
    <w:p>
      <w:pPr>
        <w:pStyle w:val="731"/>
        <w:ind w:firstLine="709"/>
        <w:jc w:val="both"/>
      </w:pPr>
      <w:r/>
      <w:r/>
    </w:p>
    <w:tbl>
      <w:tblPr>
        <w:tblW w:w="1018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23"/>
        <w:gridCol w:w="2551"/>
        <w:gridCol w:w="340"/>
        <w:gridCol w:w="3973"/>
      </w:tblGrid>
      <w:tr>
        <w:tblPrEx/>
        <w:trPr/>
        <w:tc>
          <w:tcPr>
            <w:tcW w:w="3323" w:type="dxa"/>
            <w:vAlign w:val="bottom"/>
            <w:textDirection w:val="lrTb"/>
            <w:noWrap w:val="false"/>
          </w:tcPr>
          <w:p>
            <w:pPr>
              <w:pStyle w:val="731"/>
            </w:pPr>
            <w:r>
              <w:t xml:space="preserve">Директор учреждения</w:t>
            </w:r>
            <w:r/>
          </w:p>
        </w:tc>
        <w:tc>
          <w:tcPr>
            <w:tcBorders>
              <w:bottom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1"/>
            </w:pPr>
            <w:r/>
            <w:r/>
          </w:p>
        </w:tc>
      </w:tr>
      <w:tr>
        <w:tblPrEx/>
        <w:trPr/>
        <w:tc>
          <w:tcPr>
            <w:tcW w:w="3323" w:type="dxa"/>
            <w:vAlign w:val="bottom"/>
            <w:textDirection w:val="lrTb"/>
            <w:noWrap w:val="false"/>
          </w:tcPr>
          <w:p>
            <w:pPr>
              <w:pStyle w:val="731"/>
            </w:pPr>
            <w:r>
              <w:t xml:space="preserve">М.П.</w:t>
            </w:r>
            <w:r/>
          </w:p>
        </w:tc>
        <w:tc>
          <w:tcPr>
            <w:tcBorders>
              <w:top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87" w:type="dxa"/>
            <w:vAlign w:val="top"/>
            <w:textDirection w:val="lrTb"/>
            <w:noWrap w:val="false"/>
          </w:tcPr>
          <w:p>
            <w:pPr>
              <w:pStyle w:val="731"/>
            </w:pPr>
            <w:r>
              <w:t xml:space="preserve">«____»</w:t>
            </w:r>
            <w:r>
              <w:t xml:space="preserve"> _____________________ г.</w:t>
            </w:r>
            <w:r/>
          </w:p>
        </w:tc>
      </w:tr>
      <w:tr>
        <w:tblPrEx/>
        <w:trPr/>
        <w:tc>
          <w:tcPr>
            <w:tcW w:w="3323" w:type="dxa"/>
            <w:vAlign w:val="bottom"/>
            <w:textDirection w:val="lrTb"/>
            <w:noWrap w:val="false"/>
          </w:tcPr>
          <w:p>
            <w:pPr>
              <w:pStyle w:val="731"/>
            </w:pPr>
            <w:r>
              <w:t xml:space="preserve">Испо</w:t>
            </w:r>
            <w:r>
              <w:t xml:space="preserve">лнитель</w:t>
            </w:r>
            <w:r/>
          </w:p>
        </w:tc>
        <w:tc>
          <w:tcPr>
            <w:tcBorders>
              <w:bottom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731"/>
            </w:pPr>
            <w:r/>
            <w:r/>
          </w:p>
        </w:tc>
      </w:tr>
      <w:tr>
        <w:tblPrEx/>
        <w:trPr/>
        <w:tc>
          <w:tcPr>
            <w:tcW w:w="3323" w:type="dxa"/>
            <w:vAlign w:val="bottom"/>
            <w:textDirection w:val="lrTb"/>
            <w:noWrap w:val="false"/>
          </w:tcPr>
          <w:p>
            <w:pPr>
              <w:pStyle w:val="731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</w:p>
        </w:tc>
        <w:tc>
          <w:tcPr>
            <w:tcW w:w="340" w:type="dxa"/>
            <w:vAlign w:val="bottom"/>
            <w:textDirection w:val="lrTb"/>
            <w:noWrap w:val="false"/>
          </w:tcPr>
          <w:p>
            <w:pPr>
              <w:pStyle w:val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7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707" w:bottom="1418" w:left="1134" w:header="363" w:footer="709" w:gutter="0"/>
      <w:pgNumType w:start="1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Бухгалтер" w:date="2025-08-15T01:14:00Z" w:initials="Б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вот так прописать, тем более что в соглашении потом везде в результатах пишем «создание в части благоустройства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2A7C73A" w16cex:dateUtc="2025-08-14T20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2A7C7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</w:instrText>
    </w:r>
    <w:r>
      <w:rPr>
        <w:sz w:val="28"/>
        <w:szCs w:val="28"/>
      </w:rPr>
      <w:instrText xml:space="preserve">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06"/>
    </w:pPr>
    <w:r/>
    <w:r/>
  </w:p>
  <w:p>
    <w:pPr>
      <w:pStyle w:val="6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705"/>
      </w:rPr>
      <w:framePr w:wrap="around" w:vAnchor="text" w:hAnchor="margin" w:xAlign="center" w:y="1"/>
    </w:pPr>
    <w:r>
      <w:rPr>
        <w:rStyle w:val="705"/>
      </w:rPr>
      <w:fldChar w:fldCharType="begin"/>
    </w:r>
    <w:r>
      <w:rPr>
        <w:rStyle w:val="705"/>
      </w:rPr>
      <w:instrText xml:space="preserve">PAGE  </w:instrText>
    </w:r>
    <w:r>
      <w:rPr>
        <w:rStyle w:val="705"/>
      </w:rPr>
      <w:fldChar w:fldCharType="end"/>
    </w:r>
    <w:r>
      <w:rPr>
        <w:rStyle w:val="705"/>
      </w:rPr>
    </w:r>
    <w:r>
      <w:rPr>
        <w:rStyle w:val="705"/>
      </w:rPr>
    </w:r>
  </w:p>
  <w:p>
    <w:pPr>
      <w:pStyle w:val="706"/>
    </w:pPr>
    <w:r/>
    <w:r/>
  </w:p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227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5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3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1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632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227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next w:val="695"/>
    <w:link w:val="695"/>
    <w:qFormat/>
    <w:rPr>
      <w:lang w:val="ru-RU" w:eastAsia="ru-RU" w:bidi="ar-SA"/>
    </w:rPr>
  </w:style>
  <w:style w:type="paragraph" w:styleId="696">
    <w:name w:val="Заголовок 1"/>
    <w:basedOn w:val="695"/>
    <w:next w:val="695"/>
    <w:link w:val="790"/>
    <w:qFormat/>
    <w:pPr>
      <w:ind w:right="-1" w:firstLine="709"/>
      <w:jc w:val="both"/>
      <w:keepNext/>
      <w:outlineLvl w:val="0"/>
    </w:pPr>
    <w:rPr>
      <w:sz w:val="24"/>
    </w:rPr>
  </w:style>
  <w:style w:type="paragraph" w:styleId="697">
    <w:name w:val="Заголовок 2"/>
    <w:basedOn w:val="695"/>
    <w:next w:val="695"/>
    <w:link w:val="695"/>
    <w:qFormat/>
    <w:pPr>
      <w:ind w:right="-1"/>
      <w:jc w:val="both"/>
      <w:keepNext/>
      <w:outlineLvl w:val="1"/>
    </w:pPr>
    <w:rPr>
      <w:sz w:val="24"/>
    </w:rPr>
  </w:style>
  <w:style w:type="character" w:styleId="698">
    <w:name w:val="Основной шрифт абзаца"/>
    <w:next w:val="698"/>
    <w:link w:val="695"/>
    <w:semiHidden/>
  </w:style>
  <w:style w:type="table" w:styleId="699">
    <w:name w:val="Обычная таблица"/>
    <w:next w:val="699"/>
    <w:link w:val="695"/>
    <w:semiHidden/>
    <w:tblPr/>
  </w:style>
  <w:style w:type="numbering" w:styleId="700">
    <w:name w:val="Нет списка"/>
    <w:next w:val="700"/>
    <w:link w:val="695"/>
    <w:semiHidden/>
  </w:style>
  <w:style w:type="paragraph" w:styleId="701">
    <w:name w:val="Название объекта"/>
    <w:basedOn w:val="695"/>
    <w:next w:val="695"/>
    <w:link w:val="69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2">
    <w:name w:val="Основной текст"/>
    <w:basedOn w:val="695"/>
    <w:next w:val="702"/>
    <w:link w:val="730"/>
    <w:pPr>
      <w:ind w:right="3117"/>
    </w:pPr>
    <w:rPr>
      <w:rFonts w:ascii="Courier New" w:hAnsi="Courier New"/>
      <w:sz w:val="26"/>
    </w:rPr>
  </w:style>
  <w:style w:type="paragraph" w:styleId="703">
    <w:name w:val="Основной текст с отступом"/>
    <w:basedOn w:val="695"/>
    <w:next w:val="703"/>
    <w:link w:val="695"/>
    <w:pPr>
      <w:ind w:right="-1"/>
      <w:jc w:val="both"/>
    </w:pPr>
    <w:rPr>
      <w:sz w:val="26"/>
    </w:rPr>
  </w:style>
  <w:style w:type="paragraph" w:styleId="704">
    <w:name w:val="Нижний колонтитул"/>
    <w:basedOn w:val="695"/>
    <w:next w:val="704"/>
    <w:link w:val="789"/>
    <w:uiPriority w:val="99"/>
    <w:pPr>
      <w:tabs>
        <w:tab w:val="center" w:pos="4153" w:leader="none"/>
        <w:tab w:val="right" w:pos="8306" w:leader="none"/>
      </w:tabs>
    </w:pPr>
  </w:style>
  <w:style w:type="character" w:styleId="705">
    <w:name w:val="Номер страницы"/>
    <w:basedOn w:val="698"/>
    <w:next w:val="705"/>
    <w:link w:val="695"/>
  </w:style>
  <w:style w:type="paragraph" w:styleId="706">
    <w:name w:val="Верхний колонтитул"/>
    <w:basedOn w:val="695"/>
    <w:next w:val="706"/>
    <w:link w:val="709"/>
    <w:uiPriority w:val="99"/>
    <w:pPr>
      <w:tabs>
        <w:tab w:val="center" w:pos="4153" w:leader="none"/>
        <w:tab w:val="right" w:pos="8306" w:leader="none"/>
      </w:tabs>
    </w:pPr>
  </w:style>
  <w:style w:type="paragraph" w:styleId="707">
    <w:name w:val="Текст выноски"/>
    <w:basedOn w:val="695"/>
    <w:next w:val="707"/>
    <w:link w:val="708"/>
    <w:uiPriority w:val="99"/>
    <w:rPr>
      <w:rFonts w:ascii="Segoe UI" w:hAnsi="Segoe UI" w:cs="Segoe UI"/>
      <w:sz w:val="18"/>
      <w:szCs w:val="18"/>
    </w:rPr>
  </w:style>
  <w:style w:type="character" w:styleId="708">
    <w:name w:val="Текст выноски Знак"/>
    <w:next w:val="708"/>
    <w:link w:val="707"/>
    <w:uiPriority w:val="99"/>
    <w:rPr>
      <w:rFonts w:ascii="Segoe UI" w:hAnsi="Segoe UI" w:cs="Segoe UI"/>
      <w:sz w:val="18"/>
      <w:szCs w:val="18"/>
    </w:rPr>
  </w:style>
  <w:style w:type="character" w:styleId="709">
    <w:name w:val="Верхний колонтитул Знак"/>
    <w:next w:val="709"/>
    <w:link w:val="706"/>
    <w:uiPriority w:val="99"/>
  </w:style>
  <w:style w:type="numbering" w:styleId="710">
    <w:name w:val="Нет списка1"/>
    <w:next w:val="700"/>
    <w:link w:val="695"/>
    <w:uiPriority w:val="99"/>
    <w:semiHidden/>
    <w:unhideWhenUsed/>
  </w:style>
  <w:style w:type="paragraph" w:styleId="711">
    <w:name w:val="Без интервала"/>
    <w:next w:val="711"/>
    <w:link w:val="69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2">
    <w:name w:val="Гиперссылка"/>
    <w:next w:val="712"/>
    <w:link w:val="695"/>
    <w:uiPriority w:val="99"/>
    <w:unhideWhenUsed/>
    <w:rPr>
      <w:color w:val="0000ff"/>
      <w:u w:val="single"/>
    </w:rPr>
  </w:style>
  <w:style w:type="character" w:styleId="713">
    <w:name w:val="Просмотренная гиперссылка"/>
    <w:next w:val="713"/>
    <w:link w:val="695"/>
    <w:uiPriority w:val="99"/>
    <w:unhideWhenUsed/>
    <w:rPr>
      <w:color w:val="800080"/>
      <w:u w:val="single"/>
    </w:rPr>
  </w:style>
  <w:style w:type="paragraph" w:styleId="714">
    <w:name w:val="xl65"/>
    <w:basedOn w:val="695"/>
    <w:next w:val="714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5">
    <w:name w:val="xl66"/>
    <w:basedOn w:val="695"/>
    <w:next w:val="715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6">
    <w:name w:val="xl67"/>
    <w:basedOn w:val="695"/>
    <w:next w:val="716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7">
    <w:name w:val="xl68"/>
    <w:basedOn w:val="695"/>
    <w:next w:val="717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18">
    <w:name w:val="xl69"/>
    <w:basedOn w:val="695"/>
    <w:next w:val="718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9">
    <w:name w:val="xl70"/>
    <w:basedOn w:val="695"/>
    <w:next w:val="719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0">
    <w:name w:val="xl71"/>
    <w:basedOn w:val="695"/>
    <w:next w:val="720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>
    <w:name w:val="xl72"/>
    <w:basedOn w:val="695"/>
    <w:next w:val="721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2">
    <w:name w:val="xl73"/>
    <w:basedOn w:val="695"/>
    <w:next w:val="722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3">
    <w:name w:val="xl74"/>
    <w:basedOn w:val="695"/>
    <w:next w:val="723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>
    <w:name w:val="xl75"/>
    <w:basedOn w:val="695"/>
    <w:next w:val="724"/>
    <w:link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5">
    <w:name w:val="xl76"/>
    <w:basedOn w:val="695"/>
    <w:next w:val="725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6">
    <w:name w:val="xl77"/>
    <w:basedOn w:val="695"/>
    <w:next w:val="726"/>
    <w:link w:val="69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>
    <w:name w:val="xl78"/>
    <w:basedOn w:val="695"/>
    <w:next w:val="727"/>
    <w:link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8">
    <w:name w:val="xl79"/>
    <w:basedOn w:val="695"/>
    <w:next w:val="728"/>
    <w:link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>
    <w:name w:val="Форма"/>
    <w:next w:val="729"/>
    <w:link w:val="695"/>
    <w:rPr>
      <w:sz w:val="28"/>
      <w:szCs w:val="28"/>
      <w:lang w:val="ru-RU" w:eastAsia="ru-RU" w:bidi="ar-SA"/>
    </w:rPr>
  </w:style>
  <w:style w:type="character" w:styleId="730">
    <w:name w:val="Основной текст Знак"/>
    <w:next w:val="730"/>
    <w:link w:val="702"/>
    <w:rPr>
      <w:rFonts w:ascii="Courier New" w:hAnsi="Courier New"/>
      <w:sz w:val="26"/>
    </w:rPr>
  </w:style>
  <w:style w:type="paragraph" w:styleId="731">
    <w:name w:val="ConsPlusNormal"/>
    <w:next w:val="731"/>
    <w:link w:val="695"/>
    <w:rPr>
      <w:sz w:val="28"/>
      <w:szCs w:val="28"/>
      <w:lang w:val="ru-RU" w:eastAsia="ru-RU" w:bidi="ar-SA"/>
    </w:rPr>
  </w:style>
  <w:style w:type="numbering" w:styleId="732">
    <w:name w:val="Нет списка11"/>
    <w:next w:val="700"/>
    <w:link w:val="695"/>
    <w:uiPriority w:val="99"/>
    <w:semiHidden/>
    <w:unhideWhenUsed/>
  </w:style>
  <w:style w:type="numbering" w:styleId="733">
    <w:name w:val="Нет списка111"/>
    <w:next w:val="700"/>
    <w:link w:val="695"/>
    <w:uiPriority w:val="99"/>
    <w:semiHidden/>
    <w:unhideWhenUsed/>
  </w:style>
  <w:style w:type="paragraph" w:styleId="734">
    <w:name w:val="font5"/>
    <w:basedOn w:val="695"/>
    <w:next w:val="734"/>
    <w:link w:val="6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35">
    <w:name w:val="xl80"/>
    <w:basedOn w:val="695"/>
    <w:next w:val="735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36">
    <w:name w:val="xl81"/>
    <w:basedOn w:val="695"/>
    <w:next w:val="736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37">
    <w:name w:val="xl82"/>
    <w:basedOn w:val="695"/>
    <w:next w:val="737"/>
    <w:link w:val="69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38">
    <w:name w:val="Сетка таблицы"/>
    <w:basedOn w:val="699"/>
    <w:next w:val="738"/>
    <w:link w:val="69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39">
    <w:name w:val="xl83"/>
    <w:basedOn w:val="695"/>
    <w:next w:val="739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0">
    <w:name w:val="xl84"/>
    <w:basedOn w:val="695"/>
    <w:next w:val="740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1">
    <w:name w:val="xl85"/>
    <w:basedOn w:val="695"/>
    <w:next w:val="741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2">
    <w:name w:val="xl86"/>
    <w:basedOn w:val="695"/>
    <w:next w:val="742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3">
    <w:name w:val="xl87"/>
    <w:basedOn w:val="695"/>
    <w:next w:val="743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4">
    <w:name w:val="xl88"/>
    <w:basedOn w:val="695"/>
    <w:next w:val="744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5">
    <w:name w:val="xl89"/>
    <w:basedOn w:val="695"/>
    <w:next w:val="745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6">
    <w:name w:val="xl90"/>
    <w:basedOn w:val="695"/>
    <w:next w:val="746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7">
    <w:name w:val="xl91"/>
    <w:basedOn w:val="695"/>
    <w:next w:val="747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>
    <w:name w:val="xl92"/>
    <w:basedOn w:val="695"/>
    <w:next w:val="748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9">
    <w:name w:val="xl93"/>
    <w:basedOn w:val="695"/>
    <w:next w:val="749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0">
    <w:name w:val="xl94"/>
    <w:basedOn w:val="695"/>
    <w:next w:val="750"/>
    <w:link w:val="69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>
    <w:name w:val="xl95"/>
    <w:basedOn w:val="695"/>
    <w:next w:val="751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2">
    <w:name w:val="xl96"/>
    <w:basedOn w:val="695"/>
    <w:next w:val="752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>
    <w:name w:val="xl97"/>
    <w:basedOn w:val="695"/>
    <w:next w:val="753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4">
    <w:name w:val="xl98"/>
    <w:basedOn w:val="695"/>
    <w:next w:val="754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55">
    <w:name w:val="xl99"/>
    <w:basedOn w:val="695"/>
    <w:next w:val="755"/>
    <w:link w:val="69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6">
    <w:name w:val="xl100"/>
    <w:basedOn w:val="695"/>
    <w:next w:val="756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7">
    <w:name w:val="xl101"/>
    <w:basedOn w:val="695"/>
    <w:next w:val="757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8">
    <w:name w:val="xl102"/>
    <w:basedOn w:val="695"/>
    <w:next w:val="758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>
    <w:name w:val="xl103"/>
    <w:basedOn w:val="695"/>
    <w:next w:val="759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>
    <w:name w:val="xl104"/>
    <w:basedOn w:val="695"/>
    <w:next w:val="760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>
    <w:name w:val="xl105"/>
    <w:basedOn w:val="695"/>
    <w:next w:val="761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2">
    <w:name w:val="xl106"/>
    <w:basedOn w:val="695"/>
    <w:next w:val="762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3">
    <w:name w:val="xl107"/>
    <w:basedOn w:val="695"/>
    <w:next w:val="763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08"/>
    <w:basedOn w:val="695"/>
    <w:next w:val="764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09"/>
    <w:basedOn w:val="695"/>
    <w:next w:val="765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10"/>
    <w:basedOn w:val="695"/>
    <w:next w:val="766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11"/>
    <w:basedOn w:val="695"/>
    <w:next w:val="767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>
    <w:name w:val="xl112"/>
    <w:basedOn w:val="695"/>
    <w:next w:val="768"/>
    <w:link w:val="69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69">
    <w:name w:val="xl113"/>
    <w:basedOn w:val="695"/>
    <w:next w:val="769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14"/>
    <w:basedOn w:val="695"/>
    <w:next w:val="770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>
    <w:name w:val="xl115"/>
    <w:basedOn w:val="695"/>
    <w:next w:val="771"/>
    <w:link w:val="69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2">
    <w:name w:val="xl116"/>
    <w:basedOn w:val="695"/>
    <w:next w:val="772"/>
    <w:link w:val="69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17"/>
    <w:basedOn w:val="695"/>
    <w:next w:val="773"/>
    <w:link w:val="69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18"/>
    <w:basedOn w:val="695"/>
    <w:next w:val="774"/>
    <w:link w:val="6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19"/>
    <w:basedOn w:val="695"/>
    <w:next w:val="775"/>
    <w:link w:val="6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>
    <w:name w:val="xl120"/>
    <w:basedOn w:val="695"/>
    <w:next w:val="776"/>
    <w:link w:val="6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7">
    <w:name w:val="xl121"/>
    <w:basedOn w:val="695"/>
    <w:next w:val="777"/>
    <w:link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8">
    <w:name w:val="xl122"/>
    <w:basedOn w:val="695"/>
    <w:next w:val="778"/>
    <w:link w:val="69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>
    <w:name w:val="xl123"/>
    <w:basedOn w:val="695"/>
    <w:next w:val="779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0">
    <w:name w:val="xl124"/>
    <w:basedOn w:val="695"/>
    <w:next w:val="780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1">
    <w:name w:val="xl125"/>
    <w:basedOn w:val="695"/>
    <w:next w:val="781"/>
    <w:link w:val="69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2">
    <w:name w:val="Нет списка2"/>
    <w:next w:val="700"/>
    <w:link w:val="695"/>
    <w:uiPriority w:val="99"/>
    <w:semiHidden/>
    <w:unhideWhenUsed/>
  </w:style>
  <w:style w:type="numbering" w:styleId="783">
    <w:name w:val="Нет списка3"/>
    <w:next w:val="700"/>
    <w:link w:val="695"/>
    <w:uiPriority w:val="99"/>
    <w:semiHidden/>
    <w:unhideWhenUsed/>
  </w:style>
  <w:style w:type="paragraph" w:styleId="784">
    <w:name w:val="font6"/>
    <w:basedOn w:val="695"/>
    <w:next w:val="784"/>
    <w:link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5">
    <w:name w:val="font7"/>
    <w:basedOn w:val="695"/>
    <w:next w:val="785"/>
    <w:link w:val="6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6">
    <w:name w:val="font8"/>
    <w:basedOn w:val="695"/>
    <w:next w:val="786"/>
    <w:link w:val="6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87">
    <w:name w:val="Нет списка4"/>
    <w:next w:val="700"/>
    <w:link w:val="695"/>
    <w:uiPriority w:val="99"/>
    <w:semiHidden/>
    <w:unhideWhenUsed/>
  </w:style>
  <w:style w:type="paragraph" w:styleId="788">
    <w:name w:val="Абзац списка"/>
    <w:basedOn w:val="695"/>
    <w:next w:val="788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89">
    <w:name w:val="Нижний колонтитул Знак"/>
    <w:next w:val="789"/>
    <w:link w:val="704"/>
    <w:uiPriority w:val="99"/>
  </w:style>
  <w:style w:type="character" w:styleId="790">
    <w:name w:val="Заголовок 1 Знак"/>
    <w:next w:val="790"/>
    <w:link w:val="696"/>
    <w:rPr>
      <w:sz w:val="24"/>
    </w:rPr>
  </w:style>
  <w:style w:type="table" w:styleId="791">
    <w:name w:val="Сетка таблицы1"/>
    <w:basedOn w:val="699"/>
    <w:next w:val="738"/>
    <w:link w:val="695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792">
    <w:name w:val="Знак примечания"/>
    <w:next w:val="792"/>
    <w:link w:val="695"/>
    <w:rPr>
      <w:sz w:val="16"/>
      <w:szCs w:val="16"/>
    </w:rPr>
  </w:style>
  <w:style w:type="paragraph" w:styleId="793">
    <w:name w:val="Текст примечания"/>
    <w:basedOn w:val="695"/>
    <w:next w:val="793"/>
    <w:link w:val="794"/>
  </w:style>
  <w:style w:type="character" w:styleId="794">
    <w:name w:val="Текст примечания Знак"/>
    <w:basedOn w:val="698"/>
    <w:next w:val="794"/>
    <w:link w:val="793"/>
  </w:style>
  <w:style w:type="paragraph" w:styleId="795">
    <w:name w:val="Тема примечания"/>
    <w:basedOn w:val="793"/>
    <w:next w:val="793"/>
    <w:link w:val="796"/>
    <w:rPr>
      <w:b/>
      <w:bCs/>
    </w:rPr>
  </w:style>
  <w:style w:type="character" w:styleId="796">
    <w:name w:val="Тема примечания Знак"/>
    <w:next w:val="796"/>
    <w:link w:val="795"/>
    <w:rPr>
      <w:b/>
      <w:bCs/>
    </w:rPr>
  </w:style>
  <w:style w:type="paragraph" w:styleId="797">
    <w:name w:val="Обычный (Интернет)"/>
    <w:basedOn w:val="695"/>
    <w:next w:val="797"/>
    <w:link w:val="69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2741" w:default="1">
    <w:name w:val="Default Paragraph Font"/>
    <w:uiPriority w:val="1"/>
    <w:semiHidden/>
    <w:unhideWhenUsed/>
  </w:style>
  <w:style w:type="numbering" w:styleId="2742" w:default="1">
    <w:name w:val="No List"/>
    <w:uiPriority w:val="99"/>
    <w:semiHidden/>
    <w:unhideWhenUsed/>
  </w:style>
  <w:style w:type="table" w:styleId="27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comments" Target="comments.xml" /><Relationship Id="rId16" Type="http://schemas.microsoft.com/office/2011/relationships/commentsExtended" Target="commentsExtended.xml" /><Relationship Id="rId17" Type="http://schemas.microsoft.com/office/2018/08/relationships/commentsExtensible" Target="commentsExtensible.xml" /><Relationship Id="rId18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tsvetikova-ed</cp:lastModifiedBy>
  <cp:revision>9</cp:revision>
  <dcterms:created xsi:type="dcterms:W3CDTF">2025-08-14T12:54:00Z</dcterms:created>
  <dcterms:modified xsi:type="dcterms:W3CDTF">2025-08-20T11:51:40Z</dcterms:modified>
  <cp:version>1048576</cp:version>
</cp:coreProperties>
</file>