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059-11-01-04-340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059-11-01-04-340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02</w:t>
      </w:r>
      <w:r>
        <w:rPr>
          <w:sz w:val="28"/>
          <w:szCs w:val="28"/>
        </w:rPr>
        <w:t xml:space="preserve"> сентября 2022 г. </w:t>
      </w:r>
      <w:r>
        <w:rPr>
          <w:sz w:val="28"/>
          <w:szCs w:val="28"/>
        </w:rPr>
        <w:t xml:space="preserve">№ 059-11-01-04-795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 по адресу: г.Пермь, </w:t>
        <w:br/>
        <w:t xml:space="preserve">ул.Машинистов, д. 48</w:t>
      </w:r>
      <w:r>
        <w:rPr>
          <w:sz w:val="28"/>
          <w:szCs w:val="28"/>
        </w:rPr>
        <w:t xml:space="preserve">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59:01:1713491:406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2 488+/-9,98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Пермский край, г.Пермь,</w:t>
      </w:r>
      <w:r>
        <w:rPr>
          <w:sz w:val="28"/>
          <w:szCs w:val="28"/>
          <w:highlight w:val="none"/>
        </w:rPr>
        <w:t xml:space="preserve"> Дзержинский р-н, ул.Машинистов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2022-07-27T09:06:00Z</dcterms:created>
  <dcterms:modified xsi:type="dcterms:W3CDTF">2025-08-21T09:09:51Z</dcterms:modified>
  <cp:version>917504</cp:version>
</cp:coreProperties>
</file>